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27" w:rsidRDefault="00DF3E27" w:rsidP="00DF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Пояснительная записка к докладу главы местной администрации Мотыгинского района</w:t>
      </w:r>
    </w:p>
    <w:p w:rsidR="00DF3E27" w:rsidRDefault="00DF3E27" w:rsidP="00DF3E27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достигнутых значениях показателей для оценки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эффективности деятельности органов местного самоуправления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>городских округов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муниципальных районов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>за 2017 год и их планируемых значениях на 3-летний период</w:t>
      </w:r>
    </w:p>
    <w:p w:rsidR="00DF3E27" w:rsidRDefault="00DF3E27" w:rsidP="00DF3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3E27" w:rsidRDefault="00DF3E27" w:rsidP="00DF3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F3E27" w:rsidRDefault="00DF3E27" w:rsidP="00DD3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Экономическое развитие</w:t>
      </w:r>
    </w:p>
    <w:p w:rsidR="00DD3D6E" w:rsidRPr="00DD3D6E" w:rsidRDefault="00DD3D6E" w:rsidP="00DF3E2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F3E27" w:rsidRDefault="00DF3E27" w:rsidP="00DF3E2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Число субъектов малого и среднего предпринимательства</w:t>
      </w:r>
    </w:p>
    <w:p w:rsidR="00DF3E27" w:rsidRDefault="00DF3E27" w:rsidP="00DF3E27">
      <w:pPr>
        <w:autoSpaceDE w:val="0"/>
        <w:autoSpaceDN w:val="0"/>
        <w:adjustRightInd w:val="0"/>
        <w:spacing w:after="0" w:line="240" w:lineRule="auto"/>
        <w:ind w:left="20" w:firstLine="689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Данный показатель в 2017 году составил 217 единиц. Увеличение показателя связано с уменьшением численности населения района.</w:t>
      </w:r>
    </w:p>
    <w:p w:rsidR="00DF3E27" w:rsidRDefault="00DF3E27" w:rsidP="00DF3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F3E27" w:rsidRDefault="00DF3E27" w:rsidP="00DF3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F3E27" w:rsidRDefault="00DF3E27" w:rsidP="00DF3E2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</w:p>
    <w:p w:rsidR="00DF3E27" w:rsidRDefault="00DF3E27" w:rsidP="00DF3E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Данный показатель в 2015 году составил 12,72 %. Увеличение с 2016 года связано </w:t>
      </w:r>
      <w:r w:rsidR="00DD3D6E">
        <w:rPr>
          <w:rFonts w:ascii="Times New Roman CYR" w:hAnsi="Times New Roman CYR" w:cs="Times New Roman CYR"/>
          <w:sz w:val="28"/>
          <w:szCs w:val="28"/>
        </w:rPr>
        <w:t xml:space="preserve">с </w:t>
      </w:r>
      <w:r>
        <w:rPr>
          <w:rFonts w:ascii="Times New Roman CYR" w:hAnsi="Times New Roman CYR" w:cs="Times New Roman CYR"/>
          <w:sz w:val="28"/>
          <w:szCs w:val="28"/>
        </w:rPr>
        <w:t>учетом среднесписочной численности работников средних предприятий района в расчетах показателя. В 2017 году доля среднесписочной численности работников  составила 18,8 %.</w:t>
      </w:r>
    </w:p>
    <w:p w:rsidR="00DF3E27" w:rsidRDefault="00DF3E27" w:rsidP="00DF3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F3E27" w:rsidRDefault="00DF3E27" w:rsidP="00DF3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F3E27" w:rsidRDefault="00DF3E27" w:rsidP="00DF3E2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Объем инвестиций в основной капитал (за исключением бюджетных средств) в расчете на 1 человека</w:t>
      </w:r>
    </w:p>
    <w:p w:rsidR="00DF3E27" w:rsidRDefault="00DF3E27" w:rsidP="00DF3E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инвестиций в основной капитал (за исключением бюджетных средств) в расчете на 1 жителя за 2016 год составил 201593,2 рублей, в 2017 году уменьшился на 34% и составил 136251,1 рублей. Уменьшение показателя к 2020 году связано с окончанием  срока реализации основных инвестиционных проектов Мотыгинского района.</w:t>
      </w:r>
    </w:p>
    <w:p w:rsidR="00DF3E27" w:rsidRDefault="00DF3E27" w:rsidP="00DF3E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Основной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объемом инвестиций приходится на действующие инвестиционные проекты предприятий Мотыгинского района.</w:t>
      </w:r>
    </w:p>
    <w:p w:rsidR="00DF3E27" w:rsidRDefault="00DF3E27" w:rsidP="00DF3E27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025" w:right="20" w:hanging="13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Новоангарский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обогатительный комбинат» - проект «Расширение хвостового хозяйства», срок реализации проекта 2013-2019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гг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общий объем инвестиций за период реализации проекта составит 3507,897 млн.рублей;</w:t>
      </w:r>
    </w:p>
    <w:p w:rsidR="00DF3E27" w:rsidRDefault="00DF3E27" w:rsidP="00DF3E27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025" w:right="20" w:hanging="13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ОАО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Горьевский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горно-обогатительный комбинат» - проект «Строительство водозащитной дамбы карьера 2», срок реализации проекта 2012-2019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гг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общий объем инвестиций за период реализации проекта составит 2405,01 млн.рублей;</w:t>
      </w:r>
    </w:p>
    <w:p w:rsidR="00DF3E27" w:rsidRDefault="00DF3E27" w:rsidP="00DF3E27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025" w:right="20" w:hanging="13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ЗАО «Васильевский рудник» - проект «Освоение месторождения Партизанское, реконструкция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золотоизвлекательной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фабрики, расширение хвостового хозяйства», срок реализации проекта 2014-2025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гг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общий объем инвестиций за период реализации проекта составит 1073,83 млн.рублей;</w:t>
      </w:r>
    </w:p>
    <w:p w:rsidR="00DF3E27" w:rsidRDefault="00DF3E27" w:rsidP="00DF3E27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025" w:right="20" w:hanging="13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Филиал ООО «Группа «Магнезит» в п.г.т.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Раздолинске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проект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Саткинский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карьер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,э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лектроснабжение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карьера», срок реализации проекта 2017-2018гг, общий объем инвестиций за период реализации проекта составит 59 млн.</w:t>
      </w:r>
    </w:p>
    <w:p w:rsidR="00DF3E27" w:rsidRDefault="00DF3E27" w:rsidP="00DF3E27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025" w:right="20" w:hanging="13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Филиал ООО «Группа «Магнезит» в п.г.т.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Раздолинске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проект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Тальский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карьер», срок реализации проекта 2017-2021гг, общий объем инвестиций за период реализации проекта составит 966 млн.</w:t>
      </w:r>
    </w:p>
    <w:p w:rsidR="00DF3E27" w:rsidRDefault="00DF3E27" w:rsidP="00DF3E27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025" w:right="20" w:hanging="1305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Филиал ООО «Группа «Магнезит» в п.г.т.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Раздолинске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проект «ЦДМ.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Модернизация шахтных печей: переход на генераторный газ», срок реализации проекта 2017-2018гг, общий объем инвестиций за период реализации проекта составит 85 млн.</w:t>
      </w:r>
    </w:p>
    <w:p w:rsidR="00DF3E27" w:rsidRDefault="00DF3E27" w:rsidP="00DF3E27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025" w:right="20" w:hanging="13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Филиал ООО «Группа «Магнезит» в п.г.т.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Раздолинске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проект «Технологический модуль по производству каустического магнезита на базе обжиговой кольцевой печи производительностью 50 тыс.т. в год», срок реализации проекта 2017-2020гг, общий объем инвестиций за период реализации проекта составит 418 млн.</w:t>
      </w:r>
    </w:p>
    <w:p w:rsidR="00DF3E27" w:rsidRDefault="00DF3E27" w:rsidP="00DF3E27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025" w:right="20" w:hanging="13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Филиал ООО «Группа «Магнезит» в п.г.т.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Раздолинске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проект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Реконстукция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причала в п. Мотыгино», срок реализации проекта 2017-2018гг, общий объем инвестиций за период реализации проекта составит 59 млн.</w:t>
      </w:r>
    </w:p>
    <w:p w:rsidR="00DF3E27" w:rsidRDefault="00DF3E27" w:rsidP="00DF3E2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F3E27" w:rsidRDefault="00DF3E27" w:rsidP="00DF3E2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законе о бюджете края учтены следующие объекты:</w:t>
      </w:r>
    </w:p>
    <w:p w:rsidR="00DF3E27" w:rsidRDefault="00DF3E27" w:rsidP="00DF3E2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Школа на 115 учащихся в пос. Первомайск Мотыгинского района в 2019 г.– 6500 тыс. рублей;</w:t>
      </w:r>
    </w:p>
    <w:p w:rsidR="00DF3E27" w:rsidRDefault="00DF3E27" w:rsidP="00DF3E2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Школа на 550 учащихся в пос. Мотыгино Мотыгинского района в 2018 г. – 10 000тыс. рублей;</w:t>
      </w:r>
    </w:p>
    <w:p w:rsidR="00DF3E27" w:rsidRDefault="00DF3E27" w:rsidP="00DF3E2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Приобретение здания под размещение Раздолинской участковой больницы Мотыгинского района в 2019 г. – 86000,0 тыс. рублей</w:t>
      </w:r>
    </w:p>
    <w:p w:rsidR="00DF3E27" w:rsidRDefault="00DF3E27" w:rsidP="00DF3E27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9"/>
        <w:gridCol w:w="1484"/>
        <w:gridCol w:w="1662"/>
        <w:gridCol w:w="1799"/>
        <w:gridCol w:w="1941"/>
      </w:tblGrid>
      <w:tr w:rsidR="00DF3E27">
        <w:trPr>
          <w:trHeight w:val="735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7" w:rsidRDefault="00DF3E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7" w:rsidRDefault="00DF3E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2017факт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7" w:rsidRDefault="00DF3E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2018оценка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7" w:rsidRDefault="00DF3E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2019прогноз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E27" w:rsidRDefault="00DF3E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2020прогноз</w:t>
            </w:r>
          </w:p>
        </w:tc>
      </w:tr>
      <w:tr w:rsidR="00DF3E27">
        <w:trPr>
          <w:trHeight w:val="1035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7" w:rsidRDefault="00DF3E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Объем инвестиций в основной капитал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сего,тыс.рублей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7" w:rsidRDefault="00DF3E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1991073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7" w:rsidRDefault="00DF3E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1488287,2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7" w:rsidRDefault="00DF3E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1257038,1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E27" w:rsidRDefault="00DF3E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961065,1</w:t>
            </w:r>
          </w:p>
        </w:tc>
      </w:tr>
      <w:tr w:rsidR="00DF3E27">
        <w:trPr>
          <w:trHeight w:val="720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7" w:rsidRDefault="00DF3E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 них бюджетные средства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7" w:rsidRDefault="00DF3E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50176,1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7" w:rsidRDefault="00DF3E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32614,4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7" w:rsidRDefault="00DF3E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92500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E27" w:rsidRDefault="00DF3E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29434,5</w:t>
            </w:r>
          </w:p>
        </w:tc>
      </w:tr>
      <w:tr w:rsidR="00DF3E27">
        <w:trPr>
          <w:trHeight w:val="1065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7" w:rsidRDefault="00DF3E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Объем инвестиций без бюджетных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средств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ыс.рублей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7" w:rsidRDefault="00DF3E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1940896,9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7" w:rsidRDefault="00DF3E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1455672,7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7" w:rsidRDefault="00DF3E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1164538,1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E27" w:rsidRDefault="00DF3E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931630,5</w:t>
            </w:r>
          </w:p>
        </w:tc>
      </w:tr>
      <w:tr w:rsidR="00DF3E27">
        <w:trPr>
          <w:trHeight w:val="1005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7" w:rsidRDefault="00DF3E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Среднегодовая численность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населения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ел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7" w:rsidRDefault="00DF3E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14245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7" w:rsidRDefault="00DF3E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13721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7" w:rsidRDefault="00DF3E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13384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E27" w:rsidRDefault="00DF3E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13050</w:t>
            </w:r>
          </w:p>
        </w:tc>
      </w:tr>
      <w:tr w:rsidR="00DF3E27"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7" w:rsidRDefault="00DF3E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Объем инвестиций (без бюджетных средств) на 1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жителя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,р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7" w:rsidRDefault="00DF3E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136251,1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7" w:rsidRDefault="00DF3E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106090,8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27" w:rsidRDefault="00DF3E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87009,7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E27" w:rsidRDefault="00DF3E2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71389,3</w:t>
            </w:r>
          </w:p>
        </w:tc>
      </w:tr>
    </w:tbl>
    <w:p w:rsidR="00DF3E27" w:rsidRDefault="00DF3E27" w:rsidP="00DF3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DF3E27" w:rsidRDefault="00DF3E27" w:rsidP="00DF3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F3E27" w:rsidRDefault="00DF3E27" w:rsidP="00DF3E2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</w:p>
    <w:p w:rsidR="00DF3E27" w:rsidRDefault="00DF3E27" w:rsidP="00DF3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Показатель доля площади земельных участков в 2017 осталось без изменений.</w:t>
      </w:r>
    </w:p>
    <w:p w:rsidR="00DF3E27" w:rsidRDefault="00DF3E27" w:rsidP="00DF3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F3E27" w:rsidRDefault="00DF3E27" w:rsidP="00DF3E2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Доля прибыльных сельскохозяйственных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организаций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в общем их числе</w:t>
      </w:r>
    </w:p>
    <w:p w:rsidR="00DF3E27" w:rsidRDefault="00DF3E27" w:rsidP="00DF3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территории Мотыгинского района отсутствуют сельскохозяйственные организации,  сельское хозяйство представлено исключительно ЛХК и КФХ. </w:t>
      </w:r>
    </w:p>
    <w:p w:rsidR="00DF3E27" w:rsidRDefault="00DF3E27" w:rsidP="00DF3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F3E27" w:rsidRDefault="00DF3E27" w:rsidP="00DF3E2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p w:rsidR="00DF3E27" w:rsidRDefault="00DF3E27" w:rsidP="00DF3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Данный показатель в 2017 году составил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33,8 %. Увеличение показателя по сравнению с 2016 годом составило 8,92%, </w:t>
      </w:r>
      <w:r>
        <w:rPr>
          <w:rFonts w:ascii="Times New Roman CYR" w:hAnsi="Times New Roman CYR" w:cs="Times New Roman CYR"/>
          <w:sz w:val="28"/>
          <w:szCs w:val="28"/>
        </w:rPr>
        <w:t xml:space="preserve"> изменения связаны с увеличением перевозки грузов промышленными предприятиями и несоблюдением грузоподъемности автомобилей, что приводит к разрушению дорожного полотна.</w:t>
      </w:r>
    </w:p>
    <w:p w:rsidR="00DF3E27" w:rsidRDefault="00DF3E27" w:rsidP="00DF3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E27" w:rsidRDefault="00DF3E27" w:rsidP="00DF3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E27" w:rsidRDefault="00DF3E27" w:rsidP="00DF3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F3E27" w:rsidRDefault="00DF3E27" w:rsidP="00DF3E2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 в общей численности населения городского округа (муниципального района)</w:t>
      </w:r>
    </w:p>
    <w:p w:rsidR="00DF3E27" w:rsidRDefault="00DF3E27" w:rsidP="00DF3E2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0" w:type="auto"/>
        <w:tblInd w:w="103" w:type="dxa"/>
        <w:tblLayout w:type="fixed"/>
        <w:tblLook w:val="0000"/>
      </w:tblPr>
      <w:tblGrid>
        <w:gridCol w:w="1580"/>
        <w:gridCol w:w="1100"/>
        <w:gridCol w:w="1460"/>
        <w:gridCol w:w="1360"/>
        <w:gridCol w:w="1240"/>
        <w:gridCol w:w="1360"/>
        <w:gridCol w:w="1440"/>
      </w:tblGrid>
      <w:tr w:rsidR="00DF3E27">
        <w:trPr>
          <w:trHeight w:val="126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имеют регулярное автобусное сообщение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 имеют регулярное автобусное сообщение</w:t>
            </w:r>
          </w:p>
        </w:tc>
      </w:tr>
      <w:tr w:rsidR="00DF3E27">
        <w:trPr>
          <w:trHeight w:val="114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среднегодовая численность населения, человек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среднегодовая численность населения, человек</w:t>
            </w:r>
          </w:p>
        </w:tc>
      </w:tr>
      <w:tr w:rsidR="00DF3E27">
        <w:trPr>
          <w:trHeight w:val="33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Мотыгино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5243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</w:tr>
      <w:tr w:rsidR="00DF3E2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Решаюший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</w:tr>
      <w:tr w:rsidR="00DF3E27">
        <w:trPr>
          <w:trHeight w:val="3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Раздолинск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2279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</w:tr>
      <w:tr w:rsidR="00DF3E2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Кирсантьево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171</w:t>
            </w:r>
          </w:p>
        </w:tc>
      </w:tr>
      <w:tr w:rsidR="00DF3E2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п. Кулаково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</w:tr>
      <w:tr w:rsidR="00DF3E27">
        <w:trPr>
          <w:trHeight w:val="36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Машуковка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</w:tr>
      <w:tr w:rsidR="00DF3E2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Никольск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</w:t>
            </w:r>
          </w:p>
        </w:tc>
      </w:tr>
      <w:tr w:rsidR="00DF3E2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Устье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</w:p>
        </w:tc>
      </w:tr>
      <w:tr w:rsidR="00DF3E2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Татарка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61</w:t>
            </w:r>
          </w:p>
        </w:tc>
      </w:tr>
      <w:tr w:rsidR="00DF3E2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Новоангарск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1279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</w:tr>
      <w:tr w:rsidR="00DF3E2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Орджоникидзе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1366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</w:tr>
      <w:tr w:rsidR="00DF3E2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Партизанск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</w:tr>
      <w:tr w:rsidR="00DF3E2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Первомайск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</w:tr>
      <w:tr w:rsidR="00DF3E2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Слюдрудник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</w:tr>
      <w:tr w:rsidR="00DF3E2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Чистяки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</w:t>
            </w:r>
          </w:p>
        </w:tc>
      </w:tr>
      <w:tr w:rsidR="00DF3E2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Бельск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</w:tr>
      <w:tr w:rsidR="00DF3E2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Пашино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40</w:t>
            </w:r>
          </w:p>
        </w:tc>
      </w:tr>
      <w:tr w:rsidR="00DF3E2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 Рыбное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</w:tr>
      <w:tr w:rsidR="00DF3E2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Кировск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</w:tr>
      <w:tr w:rsidR="00DF3E2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Южно-Енисейск</w:t>
            </w:r>
            <w:proofErr w:type="spellEnd"/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 </w:t>
            </w:r>
          </w:p>
        </w:tc>
      </w:tr>
      <w:tr w:rsidR="00DF3E27">
        <w:trPr>
          <w:trHeight w:val="420"/>
        </w:trPr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Мотыгинскому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14245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302</w:t>
            </w:r>
          </w:p>
        </w:tc>
      </w:tr>
      <w:tr w:rsidR="00DF3E27">
        <w:trPr>
          <w:trHeight w:val="37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Чнас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14245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DF3E27">
        <w:trPr>
          <w:trHeight w:val="37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Чим =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13943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D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2,12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%;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DF3E27">
        <w:trPr>
          <w:trHeight w:val="375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2018 оценка:</w:t>
            </w:r>
          </w:p>
        </w:tc>
      </w:tr>
      <w:tr w:rsidR="00DF3E27">
        <w:trPr>
          <w:trHeight w:val="37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Чнас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13721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DF3E27">
        <w:trPr>
          <w:trHeight w:val="37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Чим =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13419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D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2,20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%;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DF3E27">
        <w:trPr>
          <w:trHeight w:val="375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2019 прогноз:</w:t>
            </w:r>
          </w:p>
        </w:tc>
      </w:tr>
      <w:tr w:rsidR="00DF3E27">
        <w:trPr>
          <w:trHeight w:val="37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Чнас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13384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DF3E27">
        <w:trPr>
          <w:trHeight w:val="37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Чим =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13082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D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2,26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%;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DF3E27">
        <w:trPr>
          <w:trHeight w:val="375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2020 прогноз:</w:t>
            </w:r>
          </w:p>
        </w:tc>
      </w:tr>
      <w:tr w:rsidR="00DF3E27">
        <w:trPr>
          <w:trHeight w:val="37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Чнас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13050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DF3E27">
        <w:trPr>
          <w:trHeight w:val="37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Чим =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12748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D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=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2,31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%;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DF3E27">
        <w:trPr>
          <w:trHeight w:val="1935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</w:p>
          <w:p w:rsidR="00DF3E27" w:rsidRDefault="00DF3E27" w:rsidP="00DF3E27">
            <w:pPr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 в 2017г.  по сравнению с 2016г. увеличилась на 0,02%, увеличение доли в 2018 и последующих годах  вызвано снижением среднегодовой численности постоянного населения района. </w:t>
            </w:r>
          </w:p>
          <w:p w:rsidR="00DF3E27" w:rsidRDefault="00DF3E27" w:rsidP="00DF3E27">
            <w:pPr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DF3E27" w:rsidRP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8.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Среднемесячная номинальная начисленная заработная плата работников:</w:t>
            </w:r>
          </w:p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8.1.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крупных и средних предприятий и некоммерческих организаций городского округа (муниципального района)</w:t>
            </w:r>
          </w:p>
          <w:p w:rsidR="00DF3E27" w:rsidRDefault="00DF3E27" w:rsidP="00DF3E27">
            <w:pPr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Заработная плата работников крупных и средних предприятий Мотыгинского района ежегодно увеличивается. В 2017 году средняя заработная плата увеличилась по сравнению с 2016 годом на 7,8 % и составила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46719,4 рублей. К 2020 году планируется увеличение заработной платы до 57213.27 рублей.</w:t>
            </w:r>
          </w:p>
          <w:p w:rsidR="00DF3E27" w:rsidRP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8.2.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муниципальных дошкольных образовательных учреждений</w:t>
            </w:r>
          </w:p>
          <w:p w:rsidR="00DF3E27" w:rsidRPr="00DF3E27" w:rsidRDefault="00DF3E27" w:rsidP="00DF3E27">
            <w:pPr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Средняя заработная плата дошкольных образовательных учреждений Мотыгинского района ежегодно увеличивается. В 2017 году средняя заработная плата увеличилась по сравнению с 2016 годом на 0,7 % и составила 23237,1 рублей. К 2020 году планируется увеличить заработную плату до 24120,1 рублей.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</w:p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8.3.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муниципальных общеобразовательных учреждений</w:t>
            </w:r>
          </w:p>
          <w:p w:rsidR="00DF3E27" w:rsidRDefault="00DF3E27" w:rsidP="00DF3E27">
            <w:pPr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Средняя заработная плата муниципальных общеобразовательных учреждений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Мотыгинского района ежегодно увеличивается. В 2017 году средняя заработная плата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увеличилась по сравнению с 2016 годом на 7,3 % и составила 27043,2 рублей. К 2020 году планируется увеличить заработную плату до 28016,75 рублей.</w:t>
            </w:r>
          </w:p>
          <w:p w:rsidR="00DF3E27" w:rsidRP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8.4.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муниципальных учреждений культуры и искусства</w:t>
            </w:r>
          </w:p>
          <w:p w:rsidR="00DF3E27" w:rsidRDefault="00DF3E27" w:rsidP="00DF3E27">
            <w:pPr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Среднемесячная номинальная начисленная заработная плата работников муниципальных учреждений культуры и искусства в 2017 году составила 23760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,  рост среднемесячной номинальной начисленная заработной платы работников  к  уровню 2016 года составил 12,5 % .</w:t>
            </w:r>
          </w:p>
          <w:p w:rsidR="00DF3E27" w:rsidRP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8.5.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муниципальных учреждений физической культуры и спорта</w:t>
            </w:r>
          </w:p>
          <w:p w:rsidR="00DF3E27" w:rsidRDefault="00DF3E27" w:rsidP="00DF3E27">
            <w:pPr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Среднемесячная заработная плата работников в сфере физической культуры и спорта на 2017 год составляет 18583,3 рублей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 2020 году планируется увеличить заработную плату до 19326.63 рублей.</w:t>
            </w:r>
          </w:p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F3E27" w:rsidRDefault="00DF3E27" w:rsidP="00DD3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Дошкольное образование</w:t>
            </w:r>
          </w:p>
          <w:p w:rsidR="00DF3E27" w:rsidRP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DF3E27" w:rsidRP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9.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Доля детей в возрасте 1-6 лет, получающих дошкольную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lastRenderedPageBreak/>
              <w:t>общеобразовательную услугу и (или) услугу по их содержанию в муниципальных общеобразовательных учреждениях в общей численности детей в возрасте 1-6 лет</w:t>
            </w:r>
          </w:p>
          <w:p w:rsidR="00DF3E27" w:rsidRDefault="00DF3E27" w:rsidP="00DF3E27">
            <w:pPr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Данный показатель в 2017 году составил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73,1%. Увеличение показателя по сравнению с 2016 составило 0.3%. </w:t>
            </w:r>
          </w:p>
          <w:p w:rsidR="00DF3E27" w:rsidRPr="00DF3E27" w:rsidRDefault="00DF3E27" w:rsidP="00DF3E27">
            <w:pPr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10.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детей, поставленных на учет для определения в дошкольные образовательные учреждения Мотыгинского района (отложенная очередность) составляет 148 человек, из них  от 0 до 3 лет – 147 детей, от 3 до 7 лет – 1 ребенок, от 1 года до 6 лет – 105 детей. Актуальная очередность составляет 0 человек.</w:t>
            </w:r>
          </w:p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F3E27" w:rsidRP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11.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</w:t>
            </w:r>
          </w:p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в 2017 году составила 8,3 %. Здания МБДОУ Орджоникидзевский детский сад «Лучик» требуют проведение капитального ремонта. В 2016 году, на территории Мотыгинского района требовало капитального ремонта 2 детских сада: МБДОУ Орджоникидзевский детский сад «Лучик» и Партизанский детский сад «Колокольчик», который проходит процедуру ликвидации.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Следовательно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показатель изменился в сторону уменьшения.</w:t>
            </w:r>
          </w:p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F3E27" w:rsidRPr="00DF3E27" w:rsidRDefault="00DF3E27" w:rsidP="00DD3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Общее и дополнительное образование</w:t>
            </w:r>
          </w:p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13.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  <w:p w:rsidR="00DF3E27" w:rsidRDefault="00DF3E27" w:rsidP="00DF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 соответствии с данными государственной итоговой аттестации за 2017 год, выпускников муниципальных общеобразовательных учреждений, не получивших аттестат о среднем (полном) образовании, на территории Мотыгинского района 2,4%.</w:t>
            </w:r>
          </w:p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14.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Доля муниципальных общеобразовательных учреждений, соответствующих современным требованиям обучения, в общем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lastRenderedPageBreak/>
              <w:t>количестве муниципальных общеобразовательных учреждений</w:t>
            </w:r>
          </w:p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Доля учреждений, осуществляющих свою деятельность в соответствии с требованиями федеральных государственных образовательных стандартов в части оснащенности современными средствами обучения и созданию условий для реализации ФГОС, составила - 68,19%. По сравнению с 2016 годом, уменьшилась доля учреждений, соответствующих современным требованиям обучения. Это связано с тем, что все общеобразовательные учреждения построены 30 лет назад в деревянном исполнении. А так же МБОУ «Кулаковская СОШ» не закончила капитальный ремонт в прошлом году. </w:t>
            </w:r>
          </w:p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F3E27" w:rsidRP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15.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 16 общеобразовательных учреждений (в том числе 4 филиала), в 2 общеобразовательных учреждениях требуется проведение капитальных ремонтов: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МБОУ "Первомайская СОШ" и МБОУ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Машуковская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СОШ.  </w:t>
            </w:r>
          </w:p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F3E27" w:rsidRP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16.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Доля детей первой и второй групп здоровья в общей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численности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обучающихся в муниципальных общеобразовательных учреждениях</w:t>
            </w:r>
          </w:p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ind w:left="142" w:firstLine="70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Изменение показателя по сравнению с 2016 годом связано с увеличением численности детей с ОВЗ, обучающихся в соответствии с требованием Закона об Образовании и ФГОС для детей с ОВЗ на территории Мотыгинского района.</w:t>
            </w:r>
          </w:p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F3E27" w:rsidRP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17.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численности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обучающихся в муниципальных общеобразовательных учреждениях</w:t>
            </w:r>
          </w:p>
          <w:p w:rsidR="00DF3E27" w:rsidRDefault="00DF3E27">
            <w:pPr>
              <w:autoSpaceDE w:val="0"/>
              <w:autoSpaceDN w:val="0"/>
              <w:adjustRightInd w:val="0"/>
              <w:spacing w:line="240" w:lineRule="auto"/>
              <w:ind w:firstLine="708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Общеобразовательных учреждений 16, МБОУ Мотыгинская СОШ № 1 осуществляет обучение во вторую смену. </w:t>
            </w:r>
          </w:p>
          <w:p w:rsidR="00DF3E27" w:rsidRP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18.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  <w:p w:rsidR="00DF3E27" w:rsidRDefault="00DF3E27" w:rsidP="00DF3E27">
            <w:pPr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34C03">
              <w:rPr>
                <w:rFonts w:ascii="Times New Roman CYR" w:hAnsi="Times New Roman CYR" w:cs="Times New Roman CYR"/>
                <w:sz w:val="28"/>
                <w:szCs w:val="28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</w:t>
            </w:r>
            <w:r w:rsidR="00D34C03" w:rsidRPr="00D34C03">
              <w:rPr>
                <w:rFonts w:ascii="Times New Roman CYR" w:hAnsi="Times New Roman CYR" w:cs="Times New Roman CYR"/>
                <w:sz w:val="28"/>
                <w:szCs w:val="28"/>
              </w:rPr>
              <w:t>ниях в 2017 году составили 47,44</w:t>
            </w:r>
            <w:r w:rsidRPr="00D34C03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рублей.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</w:t>
            </w:r>
          </w:p>
          <w:p w:rsidR="00DF3E27" w:rsidRP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19.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lastRenderedPageBreak/>
              <w:t>численности детей данной возрастной группы</w:t>
            </w:r>
          </w:p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уменьшился с 2015 года с 89,50 % до 74,50%  в 2017 году в виду того, что уменьшилось число кружков из-за увольнения основного состава педагогических работников.</w:t>
            </w:r>
          </w:p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F3E27" w:rsidRPr="00DF3E27" w:rsidRDefault="00DF3E27" w:rsidP="00DD3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Культура</w:t>
            </w:r>
          </w:p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DF3E27" w:rsidRP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20.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Уровень фактической обеспеченности учреждениями культуры от нормативной потребности:</w:t>
            </w:r>
          </w:p>
          <w:p w:rsidR="00DF3E27" w:rsidRDefault="00DF3E27" w:rsidP="00DF3E27">
            <w:pPr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Уровень фактической обеспеченности учреждениями культуры в городском округе (муниципальном районе) от нормативной потребности в 2017 году составил:</w:t>
            </w:r>
          </w:p>
          <w:p w:rsidR="00DF3E27" w:rsidRPr="00DF3E27" w:rsidRDefault="00DF3E27" w:rsidP="00DF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клубами и учреждениями клубного типа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157,77%</w:t>
            </w:r>
          </w:p>
          <w:p w:rsidR="001D4D63" w:rsidRDefault="00DF3E27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библиотеками</w:t>
            </w:r>
            <w:r w:rsidR="001D4D63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D4D63">
              <w:rPr>
                <w:rFonts w:ascii="Times New Roman CYR" w:hAnsi="Times New Roman CYR" w:cs="Times New Roman CYR"/>
                <w:sz w:val="24"/>
                <w:szCs w:val="24"/>
              </w:rPr>
              <w:t>74%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D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парками культуры и отдыха</w:t>
            </w:r>
            <w:r w:rsidRPr="001D4D63"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Доля муниципальных учреждений культуры, здания которых требуют капитального ремонта, в общем количестве муниципальных учреждений культуры составляет 6,25%.</w:t>
            </w:r>
          </w:p>
          <w:p w:rsidR="001D4D63" w:rsidRPr="001D4D63" w:rsidRDefault="001D4D63" w:rsidP="001D4D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В 2017 году прошла реструктуризация сети учреждений культуры: в связи с закрытием п. </w:t>
            </w:r>
            <w:proofErr w:type="spellStart"/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Партизанск</w:t>
            </w:r>
            <w:proofErr w:type="spellEnd"/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были закрыты библиотека-филиал № 14 и ДК п. </w:t>
            </w:r>
            <w:proofErr w:type="spellStart"/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Партизанск</w:t>
            </w:r>
            <w:proofErr w:type="spellEnd"/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В состав МБУК «МБС» с 01.10.2017 года вошли библиотеки п. Первомайск, </w:t>
            </w:r>
            <w:proofErr w:type="spellStart"/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Слюдрудник</w:t>
            </w:r>
            <w:proofErr w:type="spellEnd"/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Машуковка</w:t>
            </w:r>
            <w:proofErr w:type="spellEnd"/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Новоангарск</w:t>
            </w:r>
            <w:proofErr w:type="spellEnd"/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 на территории Мотыгинского района осуществляют свою деятельность: 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</w:t>
            </w: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 xml:space="preserve">13 библиотек   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 xml:space="preserve">- 12 </w:t>
            </w:r>
            <w:proofErr w:type="spellStart"/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1D4D63">
              <w:rPr>
                <w:rFonts w:ascii="Times New Roman" w:hAnsi="Times New Roman" w:cs="Times New Roman"/>
                <w:sz w:val="28"/>
                <w:szCs w:val="28"/>
              </w:rPr>
              <w:t xml:space="preserve">  учреждений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 xml:space="preserve">- Детская музыкальная школа  с тремя филиалами 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- Детская художественная школа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Муниципальный театр 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- Краеведческий музей</w:t>
            </w:r>
          </w:p>
          <w:p w:rsidR="001D4D63" w:rsidRPr="001D4D63" w:rsidRDefault="001D4D63" w:rsidP="001D4D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32 учреждений капитального ремонта требуют 2 здания: музей – 1, театр – 1. 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D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22. Доля объектов культурного наследия, находящихся в муниципальной собственности и требующих консервации или </w:t>
            </w:r>
            <w:r w:rsidRPr="001D4D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реставрации, в общем количестве объектов культурного наследия, находящихся в муниципальной собственности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В Мотыгинском районе нет объектов культурного наследия, находящихся в муниципальной собственности и требующих консервации или реставрации.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4D63" w:rsidRPr="001D4D63" w:rsidRDefault="001D4D63" w:rsidP="00DD3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D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23. Доля населения, систематически занимающегося физической культурой и спортом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D4D63"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период 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составило 29,63%, превышая показатель 2016 года на 1,32%. Проводимая в этом году работа по развитию нормативно-правовой базы, укреплению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совершенствованию структуры муниципальных органов управления физической культурой, спортом и молодежной политике, отработки механизма взаимодействия с организациями, учреждениями и предприятиями, укреплению материально-спортивной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базы отрасли, участие в краевых конкурсах, даст возможность закрепить положительные тенденции по привлечению и увеличению</w:t>
            </w:r>
            <w:proofErr w:type="gramEnd"/>
            <w:r w:rsidRPr="001D4D63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жителей района к регулярным занятиям физической культурой и спортом и укреплению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их здоровья.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D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23.1. Доля </w:t>
            </w:r>
            <w:proofErr w:type="gramStart"/>
            <w:r w:rsidRPr="001D4D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D4D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систематически занимающихся физической культурой и спортом, в общей численности обучающихся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Доля обучающихся систематически занимающихся физической культурой и спортом 46,84%, что превышает показатель 2016 года 38,42%. В основу своей деятельности и в целях решения вопросов местного значения по обеспечению условий для развития на территории муниципального образования «Мотыгинский район» физической культуры, массового спорта и молодежной политики, организации</w:t>
            </w:r>
            <w:r w:rsidR="00817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официальных физкультурных мероприятий, </w:t>
            </w:r>
            <w:proofErr w:type="spellStart"/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1D4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здоровительных, спортивных и других культурно-массовых мероприятий в 2018 году и далее на 2019-2020г</w:t>
            </w:r>
            <w:proofErr w:type="gramStart"/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D4D63">
              <w:rPr>
                <w:rFonts w:ascii="Times New Roman" w:hAnsi="Times New Roman" w:cs="Times New Roman"/>
                <w:sz w:val="28"/>
                <w:szCs w:val="28"/>
              </w:rPr>
              <w:t xml:space="preserve"> МБУ «Молодежный центр Мотыгинского района»ставит:</w:t>
            </w:r>
          </w:p>
          <w:p w:rsidR="001D4D63" w:rsidRPr="001D4D63" w:rsidRDefault="001D4D63" w:rsidP="00817E62">
            <w:pPr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1. Определение основных задач и направлений развития физической культуры, спорта и</w:t>
            </w:r>
            <w:r w:rsidR="00817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молодежной политики с учетом местных условий и возможностей и реализацию</w:t>
            </w:r>
            <w:r w:rsidR="00817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районной программы «Развитие физической культуры и спорта Мотыгинского района» на 2018-2020 годы;</w:t>
            </w:r>
          </w:p>
          <w:p w:rsidR="001D4D63" w:rsidRPr="001D4D63" w:rsidRDefault="001D4D63" w:rsidP="00817E62">
            <w:pPr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2. Популяризацию физической культуры, спорта и здорового образа жизни среди</w:t>
            </w:r>
            <w:r w:rsidR="00817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различных групп населения Мотыгинского</w:t>
            </w:r>
            <w:r w:rsidR="00817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817E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4D63" w:rsidRPr="001D4D63" w:rsidRDefault="001D4D63" w:rsidP="00817E62">
            <w:pPr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3. Организацию проведения официальных муниципальных физкультурных и различных</w:t>
            </w:r>
            <w:r w:rsidR="00817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культурно-массовых мероприятий, а также организацию </w:t>
            </w:r>
            <w:proofErr w:type="spellStart"/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1D4D63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спортивной</w:t>
            </w:r>
            <w:r w:rsidR="00817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работы по месту жительства граждан;</w:t>
            </w:r>
          </w:p>
          <w:p w:rsidR="001D4D63" w:rsidRPr="001D4D63" w:rsidRDefault="001D4D63" w:rsidP="00817E62">
            <w:pPr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Утверждение и реализацию календарных планов физкультурно-спортивных и</w:t>
            </w:r>
            <w:r w:rsidR="00817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различных культурно-массовых мероприятий, проводимых на территории Мотыгинского</w:t>
            </w:r>
            <w:r w:rsidR="00817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района;</w:t>
            </w:r>
          </w:p>
          <w:p w:rsidR="001D4D63" w:rsidRPr="001D4D63" w:rsidRDefault="001D4D63" w:rsidP="00817E62">
            <w:pPr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5. Организацию медицинского обеспечения официальных физкультурных мероприятий и</w:t>
            </w:r>
            <w:r w:rsidR="00817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спортивных мероприятий, проводимых в районе;</w:t>
            </w:r>
          </w:p>
          <w:p w:rsidR="001D4D63" w:rsidRPr="001D4D63" w:rsidRDefault="001D4D63" w:rsidP="00817E62">
            <w:pPr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6. Содействие обеспечению общественного порядка и общественной безопасности при</w:t>
            </w:r>
            <w:r w:rsidR="00817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проведении на территории муниципального образования официальных физкультурно-спортивных и различных культурно-массовых мероприятий;</w:t>
            </w:r>
          </w:p>
          <w:p w:rsidR="001D4D63" w:rsidRPr="001D4D63" w:rsidRDefault="001D4D63" w:rsidP="00817E62">
            <w:pPr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7. Участие в формировании спортивных сборных команд муниципального района и их</w:t>
            </w:r>
            <w:r w:rsidR="00817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материального обеспечения;</w:t>
            </w:r>
          </w:p>
          <w:p w:rsidR="001D4D63" w:rsidRPr="001D4D63" w:rsidRDefault="001D4D63" w:rsidP="00817E62">
            <w:pPr>
              <w:tabs>
                <w:tab w:val="left" w:pos="748"/>
              </w:tabs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8. Участие в организации и проведении межрайонных и спортивных соревнований, проводимых на территории муниципального образования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«Мотыгинский район»;</w:t>
            </w:r>
          </w:p>
          <w:p w:rsidR="001D4D63" w:rsidRPr="001D4D63" w:rsidRDefault="001D4D63" w:rsidP="00817E62">
            <w:pPr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9. Оказание содействия субъектам физической культуры и спорта, осуществляющим</w:t>
            </w:r>
            <w:r w:rsidR="00817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свою деятельность на территории Мотыгинского района;</w:t>
            </w:r>
          </w:p>
          <w:p w:rsidR="001D4D63" w:rsidRPr="001D4D63" w:rsidRDefault="001D4D63" w:rsidP="00817E62">
            <w:pPr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10. Организация участия районных спортивных, молодежных делегаций, объединений в</w:t>
            </w:r>
            <w:r w:rsidR="00817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региональных, международных семинарах, фестивалях, конкурсах, турнирах и других</w:t>
            </w:r>
            <w:r w:rsidR="00817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мероприятиях;</w:t>
            </w:r>
          </w:p>
          <w:p w:rsidR="001D4D63" w:rsidRPr="001D4D63" w:rsidRDefault="001D4D63" w:rsidP="00817E62">
            <w:pPr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11. Осуществление координации по вопросам физической культуры, спорта и молодежной</w:t>
            </w:r>
            <w:r w:rsidR="00817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политики со структурными подразделениями Администрации муниципального</w:t>
            </w:r>
            <w:r w:rsidR="00817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образования «Мотыгинский район», учреждениями и организациями всех форм</w:t>
            </w:r>
            <w:r w:rsidR="00817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собственности;</w:t>
            </w:r>
          </w:p>
          <w:p w:rsidR="001D4D63" w:rsidRPr="001D4D63" w:rsidRDefault="001D4D63" w:rsidP="00817E62">
            <w:pPr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 xml:space="preserve">12. Осуществление методического руководства и </w:t>
            </w:r>
            <w:proofErr w:type="gramStart"/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D4D63">
              <w:rPr>
                <w:rFonts w:ascii="Times New Roman" w:hAnsi="Times New Roman" w:cs="Times New Roman"/>
                <w:sz w:val="28"/>
                <w:szCs w:val="28"/>
              </w:rPr>
              <w:t xml:space="preserve"> работой физкультурно-спортивных и оздоровительных организаций;</w:t>
            </w:r>
          </w:p>
          <w:p w:rsidR="001D4D63" w:rsidRPr="001D4D63" w:rsidRDefault="001D4D63" w:rsidP="00817E62">
            <w:pPr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13. Реализация и контролирование мероприятий по развитию физической культуры и</w:t>
            </w:r>
            <w:r w:rsidR="00817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спорта инвалидов, лиц с ограниченными возможностями здоровья, адаптивной</w:t>
            </w:r>
            <w:r w:rsidR="00817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адаптивного спорта в муниципальном образовании «Мотыгинский</w:t>
            </w:r>
            <w:r w:rsidR="00817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район».</w:t>
            </w:r>
          </w:p>
          <w:p w:rsidR="001D4D63" w:rsidRPr="001D4D63" w:rsidRDefault="001D4D63" w:rsidP="00817E62">
            <w:pPr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14. Внедрение физкультурно-спортивного комплекса ГТО и центра тестирования норм</w:t>
            </w:r>
            <w:r w:rsidR="00817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ГТО.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4D63" w:rsidRPr="001D4D63" w:rsidRDefault="001D4D63" w:rsidP="00DD3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Жилищное строительство и обеспечение граждан жильем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D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24. Общая площадь жилых помещений, приходящаяся в среднем на одного жителя всего, в том числе введенная в действие за один год</w:t>
            </w:r>
          </w:p>
          <w:p w:rsidR="00817E62" w:rsidRPr="001D4D63" w:rsidRDefault="00817E62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9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165"/>
              <w:gridCol w:w="1428"/>
              <w:gridCol w:w="1251"/>
              <w:gridCol w:w="963"/>
              <w:gridCol w:w="834"/>
              <w:gridCol w:w="749"/>
            </w:tblGrid>
            <w:tr w:rsidR="001D4D63" w:rsidRPr="001D4D63" w:rsidTr="00817E62">
              <w:tc>
                <w:tcPr>
                  <w:tcW w:w="9390" w:type="dxa"/>
                  <w:gridSpan w:val="6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D4D63">
                    <w:rPr>
                      <w:rFonts w:ascii="Times New Roman" w:hAnsi="Times New Roman" w:cs="Times New Roman"/>
                    </w:rPr>
                    <w:t>Ввод жилья, кв. метров</w:t>
                  </w:r>
                </w:p>
              </w:tc>
            </w:tr>
            <w:tr w:rsidR="001D4D63" w:rsidRPr="001D4D63" w:rsidTr="00817E62">
              <w:tc>
                <w:tcPr>
                  <w:tcW w:w="4165" w:type="dxa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8" w:type="dxa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D4D63">
                    <w:rPr>
                      <w:rFonts w:ascii="Times New Roman" w:hAnsi="Times New Roman" w:cs="Times New Roman"/>
                    </w:rPr>
                    <w:t>предыдущий период</w:t>
                  </w:r>
                </w:p>
              </w:tc>
              <w:tc>
                <w:tcPr>
                  <w:tcW w:w="1251" w:type="dxa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D4D63">
                    <w:rPr>
                      <w:rFonts w:ascii="Times New Roman" w:hAnsi="Times New Roman" w:cs="Times New Roman"/>
                    </w:rPr>
                    <w:t>отчетный период</w:t>
                  </w:r>
                </w:p>
              </w:tc>
              <w:tc>
                <w:tcPr>
                  <w:tcW w:w="2546" w:type="dxa"/>
                  <w:gridSpan w:val="3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D4D63">
                    <w:rPr>
                      <w:rFonts w:ascii="Times New Roman" w:hAnsi="Times New Roman" w:cs="Times New Roman"/>
                    </w:rPr>
                    <w:t>прогноз</w:t>
                  </w:r>
                </w:p>
              </w:tc>
            </w:tr>
            <w:tr w:rsidR="001D4D63" w:rsidRPr="001D4D63" w:rsidTr="00817E62">
              <w:tc>
                <w:tcPr>
                  <w:tcW w:w="4165" w:type="dxa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28" w:type="dxa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D4D63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251" w:type="dxa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D4D63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963" w:type="dxa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D4D63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834" w:type="dxa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D4D63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749" w:type="dxa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D4D63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</w:tr>
            <w:tr w:rsidR="001D4D63" w:rsidRPr="001D4D63" w:rsidTr="00817E62">
              <w:tc>
                <w:tcPr>
                  <w:tcW w:w="4165" w:type="dxa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D4D63">
                    <w:rPr>
                      <w:rFonts w:ascii="Times New Roman" w:hAnsi="Times New Roman" w:cs="Times New Roman"/>
                    </w:rPr>
                    <w:lastRenderedPageBreak/>
                    <w:t>Введено всего,</w:t>
                  </w:r>
                </w:p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  <w:r w:rsidRPr="001D4D63">
                    <w:rPr>
                      <w:rFonts w:ascii="Times New Roman" w:hAnsi="Times New Roman" w:cs="Times New Roman"/>
                    </w:rPr>
                    <w:t>в том числе</w:t>
                  </w:r>
                </w:p>
              </w:tc>
              <w:tc>
                <w:tcPr>
                  <w:tcW w:w="1428" w:type="dxa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4497</w:t>
                  </w:r>
                </w:p>
              </w:tc>
              <w:tc>
                <w:tcPr>
                  <w:tcW w:w="1251" w:type="dxa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1476</w:t>
                  </w:r>
                </w:p>
              </w:tc>
              <w:tc>
                <w:tcPr>
                  <w:tcW w:w="963" w:type="dxa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D4D63">
                    <w:rPr>
                      <w:rFonts w:ascii="Times New Roman" w:hAnsi="Times New Roman" w:cs="Times New Roman"/>
                    </w:rPr>
                    <w:t>1500</w:t>
                  </w:r>
                </w:p>
              </w:tc>
              <w:tc>
                <w:tcPr>
                  <w:tcW w:w="834" w:type="dxa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D4D63">
                    <w:rPr>
                      <w:rFonts w:ascii="Times New Roman" w:hAnsi="Times New Roman" w:cs="Times New Roman"/>
                    </w:rPr>
                    <w:t>1500</w:t>
                  </w:r>
                </w:p>
              </w:tc>
              <w:tc>
                <w:tcPr>
                  <w:tcW w:w="749" w:type="dxa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D4D63">
                    <w:rPr>
                      <w:rFonts w:ascii="Times New Roman" w:hAnsi="Times New Roman" w:cs="Times New Roman"/>
                    </w:rPr>
                    <w:t>1500</w:t>
                  </w:r>
                </w:p>
              </w:tc>
            </w:tr>
            <w:tr w:rsidR="001D4D63" w:rsidRPr="001D4D63" w:rsidTr="00817E62">
              <w:tc>
                <w:tcPr>
                  <w:tcW w:w="4165" w:type="dxa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  <w:r w:rsidRPr="001D4D63">
                    <w:rPr>
                      <w:rFonts w:ascii="Times New Roman" w:hAnsi="Times New Roman" w:cs="Times New Roman"/>
                    </w:rPr>
                    <w:t>индивидуальное жилищное строительство</w:t>
                  </w:r>
                </w:p>
              </w:tc>
              <w:tc>
                <w:tcPr>
                  <w:tcW w:w="1428" w:type="dxa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919</w:t>
                  </w:r>
                </w:p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722</w:t>
                  </w:r>
                </w:p>
              </w:tc>
              <w:tc>
                <w:tcPr>
                  <w:tcW w:w="963" w:type="dxa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D4D63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834" w:type="dxa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D4D63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  <w:tc>
                <w:tcPr>
                  <w:tcW w:w="749" w:type="dxa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D4D63">
                    <w:rPr>
                      <w:rFonts w:ascii="Times New Roman" w:hAnsi="Times New Roman" w:cs="Times New Roman"/>
                    </w:rPr>
                    <w:t>800</w:t>
                  </w:r>
                </w:p>
              </w:tc>
            </w:tr>
            <w:tr w:rsidR="001D4D63" w:rsidRPr="001D4D63" w:rsidTr="00817E62">
              <w:tc>
                <w:tcPr>
                  <w:tcW w:w="4165" w:type="dxa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  <w:r w:rsidRPr="001D4D63">
                    <w:rPr>
                      <w:rFonts w:ascii="Times New Roman" w:hAnsi="Times New Roman" w:cs="Times New Roman"/>
                    </w:rPr>
                    <w:t>многоквартирное строительство</w:t>
                  </w:r>
                </w:p>
              </w:tc>
              <w:tc>
                <w:tcPr>
                  <w:tcW w:w="1428" w:type="dxa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3578</w:t>
                  </w:r>
                </w:p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1" w:type="dxa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754</w:t>
                  </w:r>
                </w:p>
              </w:tc>
              <w:tc>
                <w:tcPr>
                  <w:tcW w:w="963" w:type="dxa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D4D63">
                    <w:rPr>
                      <w:rFonts w:ascii="Times New Roman" w:hAnsi="Times New Roman" w:cs="Times New Roman"/>
                    </w:rPr>
                    <w:t>700</w:t>
                  </w:r>
                </w:p>
              </w:tc>
              <w:tc>
                <w:tcPr>
                  <w:tcW w:w="834" w:type="dxa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D4D63">
                    <w:rPr>
                      <w:rFonts w:ascii="Times New Roman" w:hAnsi="Times New Roman" w:cs="Times New Roman"/>
                    </w:rPr>
                    <w:t>700</w:t>
                  </w:r>
                </w:p>
              </w:tc>
              <w:tc>
                <w:tcPr>
                  <w:tcW w:w="749" w:type="dxa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D4D63">
                    <w:rPr>
                      <w:rFonts w:ascii="Times New Roman" w:hAnsi="Times New Roman" w:cs="Times New Roman"/>
                    </w:rPr>
                    <w:t>700</w:t>
                  </w:r>
                </w:p>
              </w:tc>
            </w:tr>
          </w:tbl>
          <w:p w:rsidR="001D4D63" w:rsidRPr="00817E62" w:rsidRDefault="001D4D63" w:rsidP="00817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2017г. на территории  Мотыгинского  района  введено в эксплуатацию    объекты  жилищного назначения общей площадью 4497,0 кв.м., показатель на 32,8% ниже  прошлогоднего. Понижение  показателя в 2017 году объясняется следующим, что на территории Мотыгинского района  градообразующим предприятием является ООО "</w:t>
            </w:r>
            <w:proofErr w:type="spellStart"/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Новоангарский</w:t>
            </w:r>
            <w:proofErr w:type="spellEnd"/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обогатительный комбинат", которое обеспечивает  основной ввод жилья общежитий и многоквартирных домов на территории района. В 2017г ООО "НОК" не запланировало жилищное строительство</w:t>
            </w:r>
            <w:proofErr w:type="gramStart"/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поэтому и ввод жилья на территории Мотыгинского района на 32,8% ниже по сравнению с предыдущим 2017г. </w:t>
            </w:r>
            <w:proofErr w:type="gramStart"/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Введенная общая площадь жилых помещений, приходящаяся в среднем на одного жителя составляет</w:t>
            </w:r>
            <w:proofErr w:type="gramEnd"/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0,10 кв.м.  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жилого фонда на конец 2017г к численности постоянного населения Мотыгинского района составляет в среднем на одного жителя 26,82  кв.м. Способствующими факторами к увеличению данного показателя на прогноз 2018, 2019, 2020 годов, можно считать развитие крупных предприятий горнодобывающей отрасли и необходимости в освоении новых территорий, общая тенденция к самостоятельному строительству индивидуальных жилых домов, строительства жилья органами местного самоуправления взамен</w:t>
            </w:r>
            <w:proofErr w:type="gramEnd"/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аварийного жилья. </w:t>
            </w:r>
          </w:p>
          <w:p w:rsidR="001D4D63" w:rsidRDefault="001D4D63" w:rsidP="00817E6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 xml:space="preserve">Среднегодовая численность постоянного населения в районе составила в 2017 г - 14245., 2018 г - 13722., </w:t>
            </w:r>
            <w:r w:rsidR="00817E62">
              <w:rPr>
                <w:rFonts w:ascii="Times New Roman" w:hAnsi="Times New Roman" w:cs="Times New Roman"/>
                <w:sz w:val="28"/>
                <w:szCs w:val="28"/>
              </w:rPr>
              <w:t>2019 г - 13385., 2020 г – 13050.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D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25. Площадь земельных участков, предоставленных для строительства, в расчете на 10 тыс. человек населения всего,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 xml:space="preserve"> Площадь земельных участков, предоставленных для строительства на 10 тыс. человек населения  составляет 8,25 гектара, в т. ч.  площадь 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на 10 тыс. человек составляет 2,34,  гектара.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Изменение значений показателей по отношению к 2016 году объясняется истечением срока договоров аренды,</w:t>
            </w:r>
            <w:r w:rsidR="00817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 xml:space="preserve">не выполнение договорных обязательств, </w:t>
            </w:r>
            <w:proofErr w:type="gramStart"/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в следствии</w:t>
            </w:r>
            <w:proofErr w:type="gramEnd"/>
            <w:r w:rsidRPr="001D4D63">
              <w:rPr>
                <w:rFonts w:ascii="Times New Roman" w:hAnsi="Times New Roman" w:cs="Times New Roman"/>
                <w:sz w:val="28"/>
                <w:szCs w:val="28"/>
              </w:rPr>
              <w:t xml:space="preserve"> расторжения данных договоров аренды, введением объектов в эксплуатацию и оформления права собственности.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договорам аренды с истекшим сроком аренды, органами местного самоуправления ведется работа по заключению новых договоров аренды на новый срок.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2978"/>
              <w:gridCol w:w="1417"/>
              <w:gridCol w:w="1261"/>
              <w:gridCol w:w="15"/>
              <w:gridCol w:w="1356"/>
              <w:gridCol w:w="1134"/>
              <w:gridCol w:w="1229"/>
            </w:tblGrid>
            <w:tr w:rsidR="001D4D63" w:rsidRPr="001D4D63" w:rsidTr="00817E62">
              <w:trPr>
                <w:trHeight w:val="375"/>
              </w:trPr>
              <w:tc>
                <w:tcPr>
                  <w:tcW w:w="9390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D6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Площадь предоставленных земельных участков, </w:t>
                  </w:r>
                  <w:proofErr w:type="gramStart"/>
                  <w:r w:rsidRPr="001D4D6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га</w:t>
                  </w:r>
                  <w:proofErr w:type="gramEnd"/>
                </w:p>
              </w:tc>
            </w:tr>
            <w:tr w:rsidR="001D4D63" w:rsidRPr="001D4D63" w:rsidTr="00817E62">
              <w:trPr>
                <w:trHeight w:val="450"/>
              </w:trPr>
              <w:tc>
                <w:tcPr>
                  <w:tcW w:w="29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ind w:left="81" w:firstLine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ind w:left="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предыдущий период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отчетный период</w:t>
                  </w:r>
                </w:p>
              </w:tc>
              <w:tc>
                <w:tcPr>
                  <w:tcW w:w="37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прогноз</w:t>
                  </w:r>
                </w:p>
              </w:tc>
            </w:tr>
            <w:tr w:rsidR="001D4D63" w:rsidRPr="001D4D63" w:rsidTr="00817E62">
              <w:trPr>
                <w:trHeight w:val="70"/>
              </w:trPr>
              <w:tc>
                <w:tcPr>
                  <w:tcW w:w="29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ind w:left="81" w:firstLine="72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D4D63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ind w:left="81"/>
                    <w:rPr>
                      <w:rFonts w:ascii="Times New Roman" w:hAnsi="Times New Roman" w:cs="Times New Roman"/>
                    </w:rPr>
                  </w:pPr>
                  <w:r w:rsidRPr="001D4D63">
                    <w:rPr>
                      <w:rFonts w:ascii="Times New Roman" w:hAnsi="Times New Roman" w:cs="Times New Roman"/>
                    </w:rPr>
                    <w:t xml:space="preserve">    2017</w:t>
                  </w: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ind w:left="81"/>
                    <w:jc w:val="center"/>
                    <w:rPr>
                      <w:rFonts w:ascii="Times New Roman" w:hAnsi="Times New Roman" w:cs="Times New Roman"/>
                    </w:rPr>
                  </w:pPr>
                  <w:r w:rsidRPr="001D4D63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ind w:left="81"/>
                    <w:rPr>
                      <w:rFonts w:ascii="Times New Roman" w:hAnsi="Times New Roman" w:cs="Times New Roman"/>
                    </w:rPr>
                  </w:pPr>
                  <w:r w:rsidRPr="001D4D63">
                    <w:rPr>
                      <w:rFonts w:ascii="Times New Roman" w:hAnsi="Times New Roman" w:cs="Times New Roman"/>
                    </w:rPr>
                    <w:t xml:space="preserve">  2019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D63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</w:tr>
            <w:tr w:rsidR="001D4D63" w:rsidRPr="001D4D63" w:rsidTr="00817E62">
              <w:trPr>
                <w:trHeight w:val="1198"/>
              </w:trPr>
              <w:tc>
                <w:tcPr>
                  <w:tcW w:w="29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земельных участков, предоставленных для строительства, всего:</w:t>
                  </w:r>
                </w:p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1" w:firstLine="1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26,2914</w:t>
                  </w:r>
                </w:p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11,7464</w:t>
                  </w:r>
                </w:p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11,8638</w:t>
                  </w:r>
                </w:p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11,9824</w:t>
                  </w:r>
                </w:p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12,1022</w:t>
                  </w:r>
                </w:p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D4D63" w:rsidRPr="001D4D63" w:rsidTr="00817E62">
              <w:trPr>
                <w:trHeight w:val="124"/>
              </w:trPr>
              <w:tc>
                <w:tcPr>
                  <w:tcW w:w="29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жилищного        строительства (в т.ч. для ИЖС)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4,2041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3,3311</w:t>
                  </w: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3,3644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3,3980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3,4320</w:t>
                  </w:r>
                </w:p>
              </w:tc>
            </w:tr>
            <w:tr w:rsidR="001D4D63" w:rsidRPr="001D4D63" w:rsidTr="00817E62">
              <w:trPr>
                <w:trHeight w:val="124"/>
              </w:trPr>
              <w:tc>
                <w:tcPr>
                  <w:tcW w:w="29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комплексного освоения в целях жилищного строительства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D4D63" w:rsidRPr="001D4D63" w:rsidTr="00817E62">
              <w:trPr>
                <w:trHeight w:val="124"/>
              </w:trPr>
              <w:tc>
                <w:tcPr>
                  <w:tcW w:w="29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строительства объектов, не являющихся объектами жилищного строительства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18,0873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8,4153</w:t>
                  </w:r>
                </w:p>
              </w:tc>
              <w:tc>
                <w:tcPr>
                  <w:tcW w:w="13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8,4994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8,5844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4D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8,6702</w:t>
                  </w:r>
                </w:p>
              </w:tc>
            </w:tr>
          </w:tbl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Расчет на 10 000 чел.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proofErr w:type="spellStart"/>
            <w:r w:rsidRPr="001D4D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Пжил=Пж</w:t>
            </w:r>
            <w:proofErr w:type="spellEnd"/>
            <w:r w:rsidRPr="001D4D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1D4D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Чсг</w:t>
            </w:r>
            <w:proofErr w:type="spellEnd"/>
            <w:r w:rsidRPr="001D4D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*10000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Пжил</w:t>
            </w:r>
            <w:proofErr w:type="spellEnd"/>
            <w:r w:rsidRPr="001D4D63">
              <w:rPr>
                <w:rFonts w:ascii="Times New Roman" w:hAnsi="Times New Roman" w:cs="Times New Roman"/>
                <w:sz w:val="28"/>
                <w:szCs w:val="28"/>
              </w:rPr>
              <w:t xml:space="preserve"> =3,3311/14 245*10000=</w:t>
            </w:r>
            <w:r w:rsidRPr="001D4D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2,34 га.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proofErr w:type="spellStart"/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Поб=</w:t>
            </w:r>
            <w:proofErr w:type="spellEnd"/>
            <w:r w:rsidRPr="001D4D6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Пж+</w:t>
            </w:r>
            <w:proofErr w:type="gramStart"/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)/</w:t>
            </w:r>
            <w:proofErr w:type="spellStart"/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Чсг</w:t>
            </w:r>
            <w:proofErr w:type="spellEnd"/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*10000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Поб=</w:t>
            </w:r>
            <w:proofErr w:type="spellEnd"/>
            <w:r w:rsidRPr="001D4D63">
              <w:rPr>
                <w:rFonts w:ascii="Times New Roman" w:hAnsi="Times New Roman" w:cs="Times New Roman"/>
                <w:sz w:val="28"/>
                <w:szCs w:val="28"/>
              </w:rPr>
              <w:t xml:space="preserve">(3,3311+8,4153)/Чсг14245*10000= </w:t>
            </w:r>
            <w:r w:rsidRPr="001D4D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8,25 га</w:t>
            </w:r>
            <w:proofErr w:type="gramStart"/>
            <w:r w:rsidRPr="001D4D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.,</w:t>
            </w: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D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Пжил</w:t>
            </w:r>
            <w:proofErr w:type="spellEnd"/>
            <w:r w:rsidRPr="001D4D63">
              <w:rPr>
                <w:rFonts w:ascii="Times New Roman" w:hAnsi="Times New Roman" w:cs="Times New Roman"/>
                <w:sz w:val="28"/>
                <w:szCs w:val="28"/>
              </w:rPr>
              <w:t xml:space="preserve"> - 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в расчете на 10 тыс. человек населения;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D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Пж</w:t>
            </w:r>
            <w:proofErr w:type="spellEnd"/>
            <w:r w:rsidRPr="001D4D63">
              <w:rPr>
                <w:rFonts w:ascii="Times New Roman" w:hAnsi="Times New Roman" w:cs="Times New Roman"/>
                <w:sz w:val="28"/>
                <w:szCs w:val="28"/>
              </w:rPr>
              <w:t xml:space="preserve"> - площадь земельных участков, предоставленных для жилищного строительства;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D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Чсг</w:t>
            </w:r>
            <w:proofErr w:type="spellEnd"/>
            <w:r w:rsidRPr="001D4D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постоянного населения Мотыгинского района на 2016 год. - 14809 чел. (2017г.-14245 чел., 2018г.-13721 чел.,                    2019г.-13384 чел., 2020г.-13050чел.)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D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</w:t>
            </w:r>
            <w:proofErr w:type="spellEnd"/>
            <w:r w:rsidRPr="001D4D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 w:rsidRPr="001D4D63">
              <w:rPr>
                <w:rFonts w:ascii="Times New Roman" w:hAnsi="Times New Roman" w:cs="Times New Roman"/>
                <w:sz w:val="28"/>
                <w:szCs w:val="28"/>
              </w:rPr>
              <w:t>площадь земельных участков, предоставленных для строительства в расчете на 10 тыс. человек населения - всего;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4D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Пн</w:t>
            </w:r>
            <w:proofErr w:type="spellEnd"/>
            <w:proofErr w:type="gramEnd"/>
            <w:r w:rsidRPr="001D4D63">
              <w:rPr>
                <w:rFonts w:ascii="Times New Roman" w:hAnsi="Times New Roman" w:cs="Times New Roman"/>
                <w:sz w:val="28"/>
                <w:szCs w:val="28"/>
              </w:rPr>
              <w:t xml:space="preserve"> - площадь земельных участков, предоставленных для строительства объектов, не являющихся объектами жилищного строительства. в расчете на 10 тыс. человек населения - всего;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D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26. Площадь земельных участков, предоставленных для строительства, в отношении которых </w:t>
            </w:r>
            <w:proofErr w:type="gramStart"/>
            <w:r w:rsidRPr="001D4D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 даты принятия</w:t>
            </w:r>
            <w:proofErr w:type="gramEnd"/>
            <w:r w:rsidRPr="001D4D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D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26.1. объектов жилищного строительства - в течение 3 лет</w:t>
            </w:r>
          </w:p>
          <w:p w:rsidR="00817E62" w:rsidRPr="001D4D63" w:rsidRDefault="00817E62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9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601"/>
              <w:gridCol w:w="1559"/>
              <w:gridCol w:w="1276"/>
              <w:gridCol w:w="1843"/>
              <w:gridCol w:w="1134"/>
              <w:gridCol w:w="1110"/>
              <w:gridCol w:w="1583"/>
            </w:tblGrid>
            <w:tr w:rsidR="001D4D63" w:rsidRPr="001D4D63" w:rsidTr="00817E62">
              <w:tc>
                <w:tcPr>
                  <w:tcW w:w="910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26.1. Площадь земельных участков, предоставленных для </w:t>
                  </w:r>
                  <w:r w:rsidRPr="00817E6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жилищного строительства</w:t>
                  </w: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в отношении которых </w:t>
                  </w:r>
                  <w:proofErr w:type="gramStart"/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даты принятия</w:t>
                  </w:r>
                  <w:proofErr w:type="gramEnd"/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решения о предоставлении земельного участка </w:t>
                  </w: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или подписания протокола о результатах торгов (конкурсов, аукционов) не было получено разрешение на ввод в эксплуатацию в течение </w:t>
                  </w:r>
                  <w:r w:rsidRPr="00817E6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лет</w:t>
                  </w: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кв.м.</w:t>
                  </w:r>
                </w:p>
              </w:tc>
            </w:tr>
            <w:tr w:rsidR="001D4D63" w:rsidRPr="001D4D63" w:rsidTr="00817E62"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D4D63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spellStart"/>
                  <w:proofErr w:type="gramStart"/>
                  <w:r w:rsidRPr="001D4D63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  <w:proofErr w:type="gramEnd"/>
                  <w:r w:rsidRPr="001D4D63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1D4D63">
                    <w:rPr>
                      <w:rFonts w:ascii="Times New Roman" w:hAnsi="Times New Roman" w:cs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817E62" w:rsidRDefault="001D4D63" w:rsidP="00817E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и строительный адрес объекта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Площадь земельного участка, кв.м.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принятия решения о предоставлении земельного участка или подписания протокола о результатах торгов (конкурсов, аукционов)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выдачи разрешения на строительство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Срок действия разрешения на строительство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Общая площадь </w:t>
                  </w:r>
                  <w:r w:rsidRPr="00817E6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жилищного строительства </w:t>
                  </w: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предоставленном земельном участке, кв.м. (проектная)</w:t>
                  </w:r>
                </w:p>
              </w:tc>
            </w:tr>
            <w:tr w:rsidR="001D4D63" w:rsidRPr="001D4D63" w:rsidTr="00817E62">
              <w:trPr>
                <w:trHeight w:val="267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D4D6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1D4D63" w:rsidRPr="001D4D63" w:rsidTr="00817E62">
              <w:trPr>
                <w:trHeight w:val="271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D4D6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1D4D63" w:rsidRPr="001D4D63" w:rsidTr="00817E62">
              <w:trPr>
                <w:trHeight w:val="275"/>
              </w:trPr>
              <w:tc>
                <w:tcPr>
                  <w:tcW w:w="60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</w:tr>
          </w:tbl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7E62" w:rsidRDefault="00817E62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E62" w:rsidRDefault="00817E62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E62" w:rsidRDefault="00817E62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E62" w:rsidRDefault="00817E62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E62" w:rsidRPr="001D4D63" w:rsidRDefault="00817E62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D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26.2. иных объектов капитального строительства - в течение 5 лет</w:t>
            </w:r>
          </w:p>
          <w:p w:rsidR="00817E62" w:rsidRPr="001D4D63" w:rsidRDefault="00817E62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9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643"/>
              <w:gridCol w:w="1733"/>
              <w:gridCol w:w="1391"/>
              <w:gridCol w:w="2294"/>
              <w:gridCol w:w="1486"/>
              <w:gridCol w:w="1843"/>
            </w:tblGrid>
            <w:tr w:rsidR="001D4D63" w:rsidRPr="001D4D63" w:rsidTr="00817E62">
              <w:tc>
                <w:tcPr>
                  <w:tcW w:w="939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26.2. Площадь земельных участков, предоставленных для </w:t>
                  </w:r>
                  <w:r w:rsidRPr="00817E6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иных объектов капитального строительства, в отношении</w:t>
                  </w: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которых </w:t>
                  </w:r>
                  <w:proofErr w:type="gramStart"/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даты принятия</w:t>
                  </w:r>
                  <w:proofErr w:type="gramEnd"/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</w:t>
                  </w: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эксплуатацию в течение </w:t>
                  </w:r>
                  <w:r w:rsidRPr="00817E6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лет</w:t>
                  </w: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кв.м.</w:t>
                  </w:r>
                </w:p>
              </w:tc>
            </w:tr>
            <w:tr w:rsidR="001D4D63" w:rsidRPr="001D4D63" w:rsidTr="00817E62">
              <w:tc>
                <w:tcPr>
                  <w:tcW w:w="6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№ </w:t>
                  </w:r>
                  <w:proofErr w:type="spellStart"/>
                  <w:proofErr w:type="gramStart"/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и строительный адрес объекта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Площадь земельных участков, кв.м.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принятия решения о предоставлении земельного участка или подписания протокола о результатах торгов (конкурсов, аукционов)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выдачи разрешения на строительство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Срок действия разрешения на строительство</w:t>
                  </w:r>
                </w:p>
              </w:tc>
            </w:tr>
            <w:tr w:rsidR="001D4D63" w:rsidRPr="001D4D63" w:rsidTr="00817E62">
              <w:tc>
                <w:tcPr>
                  <w:tcW w:w="6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1D4D63" w:rsidRPr="001D4D63" w:rsidTr="00817E62">
              <w:tc>
                <w:tcPr>
                  <w:tcW w:w="6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1D4D63" w:rsidRPr="001D4D63" w:rsidTr="00817E62">
              <w:tc>
                <w:tcPr>
                  <w:tcW w:w="6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2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D4D63" w:rsidRPr="00817E62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17E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</w:p>
              </w:tc>
            </w:tr>
          </w:tbl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4D63" w:rsidRPr="001D4D63" w:rsidRDefault="001D4D63" w:rsidP="00DD3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4D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  <w:p w:rsidR="001D4D63" w:rsidRPr="001D4D63" w:rsidRDefault="001D4D63" w:rsidP="00443CCD">
            <w:pPr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sz w:val="16"/>
                <w:szCs w:val="16"/>
                <w:u w:color="FF0000"/>
              </w:rPr>
            </w:pPr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  <w:t xml:space="preserve"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в 2016 году составила 100%. В 31 доме выбран способ управления – управляющая  компания. В 53 домах - непосредственное управление собственниками помещений в многоквартирном доме. 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color="FF0000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</w:t>
            </w:r>
          </w:p>
          <w:p w:rsidR="001D4D63" w:rsidRPr="001D4D63" w:rsidRDefault="001D4D63" w:rsidP="00443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FF0000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</w:t>
            </w:r>
            <w:r w:rsidRPr="001D4D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FF0000"/>
              </w:rPr>
              <w:t xml:space="preserve">28. 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1D4D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FF0000"/>
              </w:rPr>
              <w:t>водо</w:t>
            </w:r>
            <w:proofErr w:type="spellEnd"/>
            <w:r w:rsidRPr="001D4D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FF0000"/>
              </w:rPr>
              <w:t>-, тепл</w:t>
            </w:r>
            <w:proofErr w:type="gramStart"/>
            <w:r w:rsidRPr="001D4D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FF0000"/>
              </w:rPr>
              <w:t>о-</w:t>
            </w:r>
            <w:proofErr w:type="gramEnd"/>
            <w:r w:rsidRPr="001D4D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FF0000"/>
              </w:rPr>
              <w:t xml:space="preserve">, </w:t>
            </w:r>
            <w:proofErr w:type="spellStart"/>
            <w:r w:rsidRPr="001D4D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FF0000"/>
              </w:rPr>
              <w:t>газо</w:t>
            </w:r>
            <w:proofErr w:type="spellEnd"/>
            <w:r w:rsidRPr="001D4D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FF0000"/>
              </w:rPr>
      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1D4D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FF0000"/>
              </w:rPr>
              <w:t>осуществляющих</w:t>
            </w:r>
            <w:proofErr w:type="gramEnd"/>
            <w:r w:rsidRPr="001D4D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FF0000"/>
              </w:rPr>
              <w:t xml:space="preserve"> свою деятельность на территории городского округа (муниципального района)</w:t>
            </w:r>
          </w:p>
          <w:p w:rsidR="001D4D63" w:rsidRPr="001D4D63" w:rsidRDefault="001D4D63" w:rsidP="00443CCD">
            <w:pPr>
              <w:autoSpaceDE w:val="0"/>
              <w:autoSpaceDN w:val="0"/>
              <w:adjustRightInd w:val="0"/>
              <w:spacing w:after="0" w:line="240" w:lineRule="auto"/>
              <w:ind w:firstLine="748"/>
              <w:rPr>
                <w:rFonts w:ascii="Times New Roman" w:hAnsi="Times New Roman" w:cs="Times New Roman"/>
                <w:sz w:val="28"/>
                <w:szCs w:val="28"/>
                <w:u w:color="FF0000"/>
              </w:rPr>
            </w:pPr>
            <w:r w:rsidRPr="001D4D63">
              <w:rPr>
                <w:rFonts w:ascii="Times New Roman" w:hAnsi="Times New Roman" w:cs="Times New Roman"/>
                <w:sz w:val="28"/>
                <w:szCs w:val="28"/>
                <w:u w:color="FF0000"/>
              </w:rPr>
              <w:t>Данный показатель в 2017 году остался без изменений.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color="FF0000"/>
              </w:rPr>
            </w:pP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color="FF0000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FF0000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</w:t>
            </w:r>
            <w:r w:rsidRPr="001D4D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FF0000"/>
              </w:rPr>
              <w:t>29. 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  <w:p w:rsidR="001D4D63" w:rsidRDefault="001D4D63" w:rsidP="00443CCD">
            <w:pPr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  <w:u w:color="FF0000"/>
              </w:rPr>
            </w:pPr>
            <w:r w:rsidRPr="001D4D63">
              <w:rPr>
                <w:rFonts w:ascii="Times New Roman" w:hAnsi="Times New Roman" w:cs="Times New Roman"/>
                <w:sz w:val="28"/>
                <w:szCs w:val="28"/>
                <w:u w:color="FF0000"/>
              </w:rPr>
              <w:t xml:space="preserve">Доля многоквартирных домов, расположенных на земельных участках, в отношении которых осуществлен государственный кадастровый учет </w:t>
            </w:r>
            <w:r w:rsidRPr="001D4D63">
              <w:rPr>
                <w:rFonts w:ascii="Times New Roman" w:hAnsi="Times New Roman" w:cs="Times New Roman"/>
                <w:sz w:val="28"/>
                <w:szCs w:val="28"/>
                <w:u w:color="FF0000"/>
              </w:rPr>
              <w:lastRenderedPageBreak/>
              <w:t>увеличилась в 2017 г. по сравнению с 2016 г. на 12,6 % в связи с оформлением прав собственности на дома.</w:t>
            </w:r>
          </w:p>
          <w:p w:rsidR="00443CCD" w:rsidRPr="001D4D63" w:rsidRDefault="00443CCD" w:rsidP="00443CCD">
            <w:pPr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  <w:u w:color="FF0000"/>
              </w:rPr>
            </w:pPr>
          </w:p>
          <w:tbl>
            <w:tblPr>
              <w:tblW w:w="0" w:type="auto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56"/>
              <w:gridCol w:w="4111"/>
              <w:gridCol w:w="850"/>
              <w:gridCol w:w="850"/>
              <w:gridCol w:w="776"/>
              <w:gridCol w:w="776"/>
            </w:tblGrid>
            <w:tr w:rsidR="001D4D63" w:rsidRPr="001D4D63" w:rsidTr="00DD3D6E">
              <w:trPr>
                <w:trHeight w:val="750"/>
              </w:trPr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 xml:space="preserve">№ </w:t>
                  </w:r>
                  <w:proofErr w:type="spellStart"/>
                  <w:proofErr w:type="gramStart"/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п</w:t>
                  </w:r>
                  <w:proofErr w:type="spellEnd"/>
                  <w:proofErr w:type="gramEnd"/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/</w:t>
                  </w:r>
                  <w:proofErr w:type="spellStart"/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п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Показатель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2018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2019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2020</w:t>
                  </w:r>
                </w:p>
              </w:tc>
            </w:tr>
            <w:tr w:rsidR="001D4D63" w:rsidRPr="001D4D63" w:rsidTr="00DD3D6E">
              <w:trPr>
                <w:trHeight w:val="1305"/>
              </w:trPr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color="FF0000"/>
                    </w:rPr>
                    <w:t>Общее число многоквартирных домов по состоянию на конец отчетного периода (по данным статистического отчета 1-жилфонд), единиц, в том числе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2446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2437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2437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2437</w:t>
                  </w:r>
                </w:p>
              </w:tc>
            </w:tr>
            <w:tr w:rsidR="001D4D63" w:rsidRPr="001D4D63" w:rsidTr="00DD3D6E">
              <w:trPr>
                <w:trHeight w:val="405"/>
              </w:trPr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1.1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color="FF0000"/>
                    </w:rPr>
                    <w:t>дома блокированной застройки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2362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2358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2358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2358</w:t>
                  </w:r>
                </w:p>
              </w:tc>
            </w:tr>
            <w:tr w:rsidR="001D4D63" w:rsidRPr="001D4D63" w:rsidTr="00DD3D6E">
              <w:trPr>
                <w:trHeight w:val="855"/>
              </w:trPr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1.2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color="FF0000"/>
                    </w:rPr>
                    <w:t>многоквартирные дома, имеющие помещения общего пользования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84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79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79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79</w:t>
                  </w:r>
                </w:p>
              </w:tc>
            </w:tr>
            <w:tr w:rsidR="001D4D63" w:rsidRPr="001D4D63" w:rsidTr="00DD3D6E">
              <w:trPr>
                <w:trHeight w:val="1590"/>
              </w:trPr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color="FF0000"/>
                    </w:rPr>
                    <w:t>Число многоквартирных домов, расположенных на земельных участках, в отношении которых осуществлен государственный кадастровый учет (единиц)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331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332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332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332</w:t>
                  </w:r>
                </w:p>
              </w:tc>
            </w:tr>
            <w:tr w:rsidR="001D4D63" w:rsidRPr="001D4D63" w:rsidTr="00DD3D6E">
              <w:trPr>
                <w:trHeight w:val="375"/>
              </w:trPr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2.1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color="FF0000"/>
                    </w:rPr>
                    <w:t>дома блокированной застройки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252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253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253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253</w:t>
                  </w:r>
                </w:p>
              </w:tc>
            </w:tr>
            <w:tr w:rsidR="001D4D63" w:rsidRPr="001D4D63" w:rsidTr="00DD3D6E">
              <w:trPr>
                <w:trHeight w:val="750"/>
              </w:trPr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2.2.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color="FF0000"/>
                    </w:rPr>
                    <w:t>многоквартирные дома, имеющие помещения общего пользования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79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79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79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79</w:t>
                  </w:r>
                </w:p>
              </w:tc>
            </w:tr>
            <w:tr w:rsidR="001D4D63" w:rsidRPr="001D4D63" w:rsidTr="00DD3D6E">
              <w:trPr>
                <w:trHeight w:val="1365"/>
              </w:trPr>
              <w:tc>
                <w:tcPr>
                  <w:tcW w:w="85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3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color="FF0000"/>
                    </w:rPr>
                    <w:t>Доля многоквартирных домов, расположенных на земельных участках, в отношении которых осуществлен государственный кадастровый учет, 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13,5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13,6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13,6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13,6</w:t>
                  </w:r>
                </w:p>
              </w:tc>
            </w:tr>
          </w:tbl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color="FF0000"/>
              </w:rPr>
            </w:pP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color="FF0000"/>
              </w:rPr>
            </w:pP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color="FF0000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FF0000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</w:t>
            </w:r>
            <w:r w:rsidRPr="001D4D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FF0000"/>
              </w:rPr>
              <w:t xml:space="preserve">30. </w:t>
            </w:r>
            <w:proofErr w:type="gramStart"/>
            <w:r w:rsidRPr="001D4D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FF0000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color="FF0000"/>
              </w:rPr>
            </w:pPr>
            <w:r w:rsidRPr="001D4D63">
              <w:rPr>
                <w:rFonts w:ascii="Times New Roman" w:hAnsi="Times New Roman" w:cs="Times New Roman"/>
                <w:sz w:val="28"/>
                <w:szCs w:val="28"/>
                <w:u w:color="FF0000"/>
              </w:rPr>
              <w:t>С целью обеспечения доступным и комфортным жильем жителей Мотыгинского района на территории района действует  муниципальная программа «Обеспечение доступным и комфортным жильем жителей Мотыгинского района».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color="FF0000"/>
              </w:rPr>
            </w:pPr>
            <w:proofErr w:type="gramStart"/>
            <w:r w:rsidRPr="001D4D63">
              <w:rPr>
                <w:rFonts w:ascii="Times New Roman" w:hAnsi="Times New Roman" w:cs="Times New Roman"/>
                <w:sz w:val="28"/>
                <w:szCs w:val="28"/>
                <w:u w:color="FF0000"/>
              </w:rPr>
              <w:t>Увеличение доли населения, получившего жилые помещения и улучшившего жилищные условия в отчетном году произошло в связи с реализацией  региональной адресной программы по переселению граждан из аварийного жилищного фонда в Красноярском крае на 2013-2017 годы.</w:t>
            </w:r>
            <w:proofErr w:type="gramEnd"/>
            <w:r w:rsidRPr="001D4D63">
              <w:rPr>
                <w:rFonts w:ascii="Times New Roman" w:hAnsi="Times New Roman" w:cs="Times New Roman"/>
                <w:sz w:val="28"/>
                <w:szCs w:val="28"/>
                <w:u w:color="FF0000"/>
              </w:rPr>
              <w:t xml:space="preserve"> Согласно мероприятиям программы 63 семьи расселены из ветхого и аварийного жилья.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color="FF0000"/>
              </w:rPr>
            </w:pPr>
            <w:proofErr w:type="gramStart"/>
            <w:r w:rsidRPr="001D4D63">
              <w:rPr>
                <w:rFonts w:ascii="Times New Roman" w:hAnsi="Times New Roman" w:cs="Times New Roman"/>
                <w:sz w:val="28"/>
                <w:szCs w:val="28"/>
                <w:u w:color="FF0000"/>
              </w:rPr>
              <w:lastRenderedPageBreak/>
              <w:t>Граждане</w:t>
            </w:r>
            <w:proofErr w:type="gramEnd"/>
            <w:r w:rsidRPr="001D4D63">
              <w:rPr>
                <w:rFonts w:ascii="Times New Roman" w:hAnsi="Times New Roman" w:cs="Times New Roman"/>
                <w:sz w:val="28"/>
                <w:szCs w:val="28"/>
                <w:u w:color="FF0000"/>
              </w:rPr>
              <w:t xml:space="preserve"> имеющие право на получение социальных выплат на приобретение жилья на территории Красноярского края в соответствии с Законом Красноярского края "О социальной поддержке граждан, выезжающих из районов Крайнего Севера и приравненных местностей Красноярского края в другие районы Красноярского края",  а так же в соответствии с ФЗ 125-ФЗ от 25.10.2002 г. "О жилищных субсидиях гражданам, переселяющихся из районов крайнего Севера и приравненных к ним местностей" передали жилые квартиры администрациям поселений. Для предоставления нуждающимся гражданам  в 2017 г. передано 17 квартир, в 2018 г. планируется передать 20 квартир.</w:t>
            </w:r>
          </w:p>
          <w:p w:rsid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color="FF0000"/>
              </w:rPr>
            </w:pPr>
            <w:r w:rsidRPr="001D4D63">
              <w:rPr>
                <w:rFonts w:ascii="Times New Roman" w:hAnsi="Times New Roman" w:cs="Times New Roman"/>
                <w:sz w:val="28"/>
                <w:szCs w:val="28"/>
                <w:u w:color="FF0000"/>
              </w:rPr>
              <w:t xml:space="preserve">По подпрограмме «Обеспечение жилыми помещениями детей-сирот и детей, оставшихся без попечения родителей, лиц из числа детей сирот и </w:t>
            </w:r>
            <w:proofErr w:type="gramStart"/>
            <w:r w:rsidRPr="001D4D63">
              <w:rPr>
                <w:rFonts w:ascii="Times New Roman" w:hAnsi="Times New Roman" w:cs="Times New Roman"/>
                <w:sz w:val="28"/>
                <w:szCs w:val="28"/>
                <w:u w:color="FF0000"/>
              </w:rPr>
              <w:t>детей</w:t>
            </w:r>
            <w:proofErr w:type="gramEnd"/>
            <w:r w:rsidRPr="001D4D63">
              <w:rPr>
                <w:rFonts w:ascii="Times New Roman" w:hAnsi="Times New Roman" w:cs="Times New Roman"/>
                <w:sz w:val="28"/>
                <w:szCs w:val="28"/>
                <w:u w:color="FF0000"/>
              </w:rPr>
              <w:t xml:space="preserve"> оставшихся без попечения родителей» в 2017 г. приобретено 6 квартир, 1 квартира подготовлена к заселению.</w:t>
            </w:r>
          </w:p>
          <w:p w:rsidR="00443CCD" w:rsidRPr="001D4D63" w:rsidRDefault="00443CCD" w:rsidP="001D4D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color="FF0000"/>
              </w:rPr>
            </w:pPr>
          </w:p>
          <w:tbl>
            <w:tblPr>
              <w:tblW w:w="0" w:type="auto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3833"/>
              <w:gridCol w:w="1134"/>
              <w:gridCol w:w="992"/>
              <w:gridCol w:w="851"/>
              <w:gridCol w:w="850"/>
              <w:gridCol w:w="851"/>
            </w:tblGrid>
            <w:tr w:rsidR="001D4D63" w:rsidRPr="001D4D63" w:rsidTr="00DD3D6E">
              <w:trPr>
                <w:trHeight w:val="975"/>
              </w:trPr>
              <w:tc>
                <w:tcPr>
                  <w:tcW w:w="3833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FF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color="FF0000"/>
                    </w:rPr>
                    <w:t>предыдущий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color="FF0000"/>
                    </w:rPr>
                    <w:t>отчетный период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color="FF0000"/>
                    </w:rPr>
                    <w:t>прогноз</w:t>
                  </w:r>
                </w:p>
              </w:tc>
            </w:tr>
            <w:tr w:rsidR="001D4D63" w:rsidRPr="001D4D63" w:rsidTr="00DD3D6E">
              <w:trPr>
                <w:trHeight w:val="720"/>
              </w:trPr>
              <w:tc>
                <w:tcPr>
                  <w:tcW w:w="383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FF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FF0000"/>
                    </w:rPr>
                    <w:t>2016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FF0000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FF0000"/>
                    </w:rPr>
                    <w:t>2018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FF0000"/>
                    </w:rPr>
                    <w:t>2019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FF0000"/>
                    </w:rPr>
                    <w:t>2020</w:t>
                  </w:r>
                </w:p>
              </w:tc>
            </w:tr>
            <w:tr w:rsidR="001D4D63" w:rsidRPr="001D4D63" w:rsidTr="00DD3D6E">
              <w:trPr>
                <w:trHeight w:val="1605"/>
              </w:trPr>
              <w:tc>
                <w:tcPr>
                  <w:tcW w:w="38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u w:color="FF0000"/>
                    </w:rPr>
                  </w:pPr>
                  <w:proofErr w:type="gramStart"/>
                  <w:r w:rsidRPr="001D4D63">
                    <w:rPr>
                      <w:rFonts w:ascii="Times New Roman" w:hAnsi="Times New Roman" w:cs="Times New Roman"/>
                      <w:color w:val="000000"/>
                      <w:u w:color="FF0000"/>
                    </w:rPr>
      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(%)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23,56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41,79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13,74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10,10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10,10</w:t>
                  </w:r>
                </w:p>
              </w:tc>
            </w:tr>
            <w:tr w:rsidR="001D4D63" w:rsidRPr="001D4D63" w:rsidTr="00DD3D6E">
              <w:trPr>
                <w:trHeight w:val="1305"/>
              </w:trPr>
              <w:tc>
                <w:tcPr>
                  <w:tcW w:w="38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u w:color="FF0000"/>
                    </w:rPr>
                    <w:t xml:space="preserve">численность населения (семей), получившего жилые помещения и улучшившего жилищные условия </w:t>
                  </w:r>
                  <w:r w:rsidRPr="001D4D63">
                    <w:rPr>
                      <w:rFonts w:ascii="Times New Roman" w:hAnsi="Times New Roman" w:cs="Times New Roman"/>
                      <w:b/>
                      <w:bCs/>
                      <w:color w:val="000000"/>
                      <w:u w:color="FF0000"/>
                    </w:rPr>
                    <w:t>по договору социального найма</w:t>
                  </w:r>
                  <w:r w:rsidRPr="001D4D63">
                    <w:rPr>
                      <w:rFonts w:ascii="Times New Roman" w:hAnsi="Times New Roman" w:cs="Times New Roman"/>
                      <w:color w:val="000000"/>
                      <w:u w:color="FF0000"/>
                    </w:rPr>
                    <w:t xml:space="preserve"> в отчетном году</w:t>
                  </w:r>
                  <w:r w:rsidRPr="001D4D63">
                    <w:rPr>
                      <w:rFonts w:ascii="Times New Roman" w:hAnsi="Times New Roman" w:cs="Times New Roman"/>
                      <w:b/>
                      <w:bCs/>
                      <w:color w:val="000000"/>
                      <w:u w:color="FF000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29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21</w:t>
                  </w:r>
                </w:p>
              </w:tc>
            </w:tr>
            <w:tr w:rsidR="001D4D63" w:rsidRPr="001D4D63" w:rsidTr="00DD3D6E">
              <w:trPr>
                <w:trHeight w:val="1335"/>
              </w:trPr>
              <w:tc>
                <w:tcPr>
                  <w:tcW w:w="38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u w:color="FF0000"/>
                    </w:rPr>
                    <w:t xml:space="preserve">численность населения (семей), состоящего на учете в качестве нуждающегося в жилых помещениях </w:t>
                  </w:r>
                  <w:r w:rsidRPr="001D4D63">
                    <w:rPr>
                      <w:rFonts w:ascii="Times New Roman" w:hAnsi="Times New Roman" w:cs="Times New Roman"/>
                      <w:b/>
                      <w:bCs/>
                      <w:color w:val="000000"/>
                      <w:u w:color="FF0000"/>
                    </w:rPr>
                    <w:t>по договорам социального найма</w:t>
                  </w:r>
                  <w:r w:rsidRPr="001D4D63">
                    <w:rPr>
                      <w:rFonts w:ascii="Times New Roman" w:hAnsi="Times New Roman" w:cs="Times New Roman"/>
                      <w:color w:val="000000"/>
                      <w:u w:color="FF0000"/>
                    </w:rPr>
                    <w:t xml:space="preserve"> </w:t>
                  </w:r>
                  <w:r w:rsidRPr="001D4D63">
                    <w:rPr>
                      <w:rFonts w:ascii="Times New Roman" w:hAnsi="Times New Roman" w:cs="Times New Roman"/>
                      <w:b/>
                      <w:bCs/>
                      <w:color w:val="000000"/>
                      <w:u w:color="FF0000"/>
                    </w:rPr>
                    <w:t>на конец прошлого года</w:t>
                  </w:r>
                  <w:r w:rsidRPr="001D4D63">
                    <w:rPr>
                      <w:rFonts w:ascii="Times New Roman" w:hAnsi="Times New Roman" w:cs="Times New Roman"/>
                      <w:color w:val="000000"/>
                      <w:u w:color="FF0000"/>
                    </w:rPr>
                    <w:t xml:space="preserve"> *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191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201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211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208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D4D63" w:rsidRPr="001D4D63" w:rsidRDefault="001D4D63" w:rsidP="00DD3D6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</w:pPr>
                  <w:r w:rsidRPr="001D4D6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color="FF0000"/>
                    </w:rPr>
                    <w:t>208</w:t>
                  </w:r>
                </w:p>
              </w:tc>
            </w:tr>
          </w:tbl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color="FF0000"/>
              </w:rPr>
            </w:pP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color="FF0000"/>
              </w:rPr>
            </w:pP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color="FF0000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</w:t>
            </w:r>
          </w:p>
          <w:p w:rsidR="001D4D63" w:rsidRPr="001D4D63" w:rsidRDefault="001D4D63" w:rsidP="00DD3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FF0000"/>
              </w:rPr>
            </w:pPr>
            <w:r w:rsidRPr="001D4D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FF0000"/>
              </w:rPr>
              <w:t>Организация муниципального управления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color="FF0000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FF0000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</w:t>
            </w:r>
            <w:r w:rsidRPr="001D4D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FF0000"/>
              </w:rPr>
      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  <w:p w:rsidR="001D4D63" w:rsidRPr="001D4D63" w:rsidRDefault="001D4D63" w:rsidP="00443CCD">
            <w:pPr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sz w:val="16"/>
                <w:szCs w:val="16"/>
                <w:u w:color="FF0000"/>
              </w:rPr>
            </w:pPr>
            <w:r w:rsidRPr="001D4D63">
              <w:rPr>
                <w:rFonts w:ascii="Times New Roman" w:hAnsi="Times New Roman" w:cs="Times New Roman"/>
                <w:sz w:val="28"/>
                <w:szCs w:val="28"/>
                <w:u w:color="FF0000"/>
              </w:rPr>
              <w:lastRenderedPageBreak/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в 2016 году составила 72,66 %. 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color="FF0000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FF0000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</w:t>
            </w:r>
            <w:r w:rsidRPr="001D4D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FF0000"/>
              </w:rPr>
      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  <w:p w:rsidR="001D4D63" w:rsidRPr="001D4D63" w:rsidRDefault="001D4D63" w:rsidP="00443CCD">
            <w:pPr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  <w:u w:color="FF0000"/>
              </w:rPr>
            </w:pPr>
            <w:r w:rsidRPr="001D4D63">
              <w:rPr>
                <w:rFonts w:ascii="Times New Roman" w:hAnsi="Times New Roman" w:cs="Times New Roman"/>
                <w:sz w:val="28"/>
                <w:szCs w:val="28"/>
                <w:u w:color="FF0000"/>
              </w:rPr>
              <w:t>Данный показатель в 2017 году составил 0%, так как МУП ЖКХ «Орджоникидзевский» с 01.01.2017 года не осуществлял свою деятельность и не имел основных сре</w:t>
            </w:r>
            <w:proofErr w:type="gramStart"/>
            <w:r w:rsidRPr="001D4D63">
              <w:rPr>
                <w:rFonts w:ascii="Times New Roman" w:hAnsi="Times New Roman" w:cs="Times New Roman"/>
                <w:sz w:val="28"/>
                <w:szCs w:val="28"/>
                <w:u w:color="FF0000"/>
              </w:rPr>
              <w:t>дств в св</w:t>
            </w:r>
            <w:proofErr w:type="gramEnd"/>
            <w:r w:rsidRPr="001D4D63">
              <w:rPr>
                <w:rFonts w:ascii="Times New Roman" w:hAnsi="Times New Roman" w:cs="Times New Roman"/>
                <w:sz w:val="28"/>
                <w:szCs w:val="28"/>
                <w:u w:color="FF0000"/>
              </w:rPr>
              <w:t>язи с банкротством. На 31.12.2017 года предприятие еще не прекратила свое существование, о чем свидетельствует запись в ЕГРЮЛ.</w:t>
            </w:r>
          </w:p>
          <w:p w:rsidR="00443CCD" w:rsidRPr="001D4D63" w:rsidRDefault="00443CCD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color="FF0000"/>
              </w:rPr>
            </w:pP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FF0000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</w:t>
            </w:r>
            <w:r w:rsidRPr="001D4D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FF0000"/>
              </w:rPr>
              <w:t>33. 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  <w:p w:rsidR="001D4D63" w:rsidRPr="001D4D63" w:rsidRDefault="001D4D63" w:rsidP="00443CCD">
            <w:pPr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sz w:val="16"/>
                <w:szCs w:val="16"/>
                <w:u w:color="FF0000"/>
              </w:rPr>
            </w:pPr>
            <w:r w:rsidRPr="001D4D63">
              <w:rPr>
                <w:rFonts w:ascii="Times New Roman" w:hAnsi="Times New Roman" w:cs="Times New Roman"/>
                <w:sz w:val="28"/>
                <w:szCs w:val="28"/>
                <w:u w:color="FF0000"/>
              </w:rPr>
              <w:t>Объем незавершенного в установленные сроки строительства, осуществляемого за счет средств бюджета городского округа (муниципального района) в 2017 году составил 0 руб.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color="FF0000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FF0000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</w:t>
            </w:r>
            <w:r w:rsidRPr="001D4D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FF0000"/>
              </w:rPr>
      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  <w:p w:rsidR="001D4D63" w:rsidRPr="001D4D63" w:rsidRDefault="001D4D63" w:rsidP="00443CCD">
            <w:pPr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sz w:val="16"/>
                <w:szCs w:val="16"/>
                <w:u w:color="FF0000"/>
              </w:rPr>
            </w:pPr>
            <w:r w:rsidRPr="001D4D63">
              <w:rPr>
                <w:rFonts w:ascii="Times New Roman" w:hAnsi="Times New Roman" w:cs="Times New Roman"/>
                <w:sz w:val="28"/>
                <w:szCs w:val="28"/>
                <w:u w:color="FF0000"/>
              </w:rPr>
              <w:t>В 2017 году просроченной кредиторской задолженности по оплате труда (включая начисления на оплату труда) муниципальных бюджетных учреждений в общем объеме расходов муниципального образования на оплату труда (включая начисления на оплату труда) нет.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color="FF0000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FF0000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</w:t>
            </w:r>
            <w:r w:rsidRPr="001D4D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FF0000"/>
              </w:rPr>
      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  <w:p w:rsidR="001D4D63" w:rsidRPr="001D4D63" w:rsidRDefault="001D4D63" w:rsidP="00443CCD">
            <w:pPr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sz w:val="16"/>
                <w:szCs w:val="16"/>
                <w:u w:color="FF0000"/>
              </w:rPr>
            </w:pPr>
            <w:r w:rsidRPr="001D4D63">
              <w:rPr>
                <w:rFonts w:ascii="Times New Roman" w:hAnsi="Times New Roman" w:cs="Times New Roman"/>
                <w:sz w:val="28"/>
                <w:szCs w:val="28"/>
                <w:u w:color="FF0000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в 2017 году составили 5332,21 рублей.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color="FF0000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FF0000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</w:t>
            </w:r>
            <w:r w:rsidRPr="001D4D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FF0000"/>
              </w:rPr>
      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  <w:p w:rsidR="001D4D63" w:rsidRPr="001D4D63" w:rsidRDefault="001D4D63" w:rsidP="00443CCD">
            <w:pPr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sz w:val="16"/>
                <w:szCs w:val="16"/>
                <w:u w:color="FF0000"/>
              </w:rPr>
            </w:pPr>
            <w:r w:rsidRPr="001D4D63">
              <w:rPr>
                <w:rFonts w:ascii="Times New Roman" w:hAnsi="Times New Roman" w:cs="Times New Roman"/>
                <w:sz w:val="28"/>
                <w:szCs w:val="28"/>
                <w:u w:color="FF0000"/>
              </w:rPr>
              <w:t xml:space="preserve">Схема территориального планирования Мотыгинского района </w:t>
            </w:r>
            <w:r w:rsidRPr="001D4D63">
              <w:rPr>
                <w:rFonts w:ascii="Times New Roman" w:hAnsi="Times New Roman" w:cs="Times New Roman"/>
                <w:sz w:val="28"/>
                <w:szCs w:val="28"/>
                <w:u w:color="FF0000"/>
              </w:rPr>
              <w:lastRenderedPageBreak/>
              <w:t>утверждена решением Мотыгинского районного  Совета депутатов  18.12.2012г, № 19-200;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color="FF0000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FF0000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</w:t>
            </w:r>
            <w:r w:rsidRPr="001D4D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FF0000"/>
              </w:rPr>
              <w:t>37. Удовлетворенность населения деятельностью местного самоуправления городского округа (муниципального района)</w:t>
            </w:r>
          </w:p>
          <w:p w:rsidR="001D4D63" w:rsidRPr="001D4D63" w:rsidRDefault="001D4D63" w:rsidP="00443CCD">
            <w:pPr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sz w:val="16"/>
                <w:szCs w:val="16"/>
                <w:u w:color="FF0000"/>
              </w:rPr>
            </w:pPr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  <w:t>Показатель удовлетворенность населения деятельностью местного самоуправления Мотыгинского района  составил 33,10 %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color="FF0000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FF0000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</w:t>
            </w:r>
            <w:r w:rsidRPr="001D4D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FF0000"/>
              </w:rPr>
              <w:t>38. Среднегодовая численность постоянного населения</w:t>
            </w:r>
          </w:p>
          <w:p w:rsidR="001D4D63" w:rsidRPr="001D4D63" w:rsidRDefault="001D4D63" w:rsidP="00443CCD">
            <w:pPr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FF0000"/>
              </w:rPr>
            </w:pPr>
            <w:r w:rsidRPr="001D4D63">
              <w:rPr>
                <w:rFonts w:ascii="Times New Roman" w:hAnsi="Times New Roman" w:cs="Times New Roman"/>
                <w:sz w:val="28"/>
                <w:szCs w:val="28"/>
                <w:u w:color="FF0000"/>
              </w:rPr>
              <w:t xml:space="preserve">В 2017 году среднегодовая численность постоянного населения снизилась на 666 человека и составила 14245 человек. Снижение численности произошло в основном из-за  миграционной убыли населения, снижение рождаемости в районе и переселением жителей поселка </w:t>
            </w:r>
            <w:proofErr w:type="spellStart"/>
            <w:r w:rsidRPr="001D4D63">
              <w:rPr>
                <w:rFonts w:ascii="Times New Roman" w:hAnsi="Times New Roman" w:cs="Times New Roman"/>
                <w:sz w:val="28"/>
                <w:szCs w:val="28"/>
                <w:u w:color="FF0000"/>
              </w:rPr>
              <w:t>Партизанска</w:t>
            </w:r>
            <w:proofErr w:type="spellEnd"/>
            <w:r w:rsidRPr="001D4D63">
              <w:rPr>
                <w:rFonts w:ascii="Times New Roman" w:hAnsi="Times New Roman" w:cs="Times New Roman"/>
                <w:sz w:val="28"/>
                <w:szCs w:val="28"/>
                <w:u w:color="FF0000"/>
              </w:rPr>
              <w:t>. С 2018-2020 гг. прогнозируется снижение численности жителей района, за счет увеличения  численности выбывшего населения.  Численность населения к 2020 году составит 13050 человека.</w:t>
            </w:r>
          </w:p>
          <w:p w:rsidR="001D4D63" w:rsidRPr="001D4D63" w:rsidRDefault="001D4D63" w:rsidP="00443CCD">
            <w:pPr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FF0000"/>
              </w:rPr>
            </w:pPr>
            <w:r w:rsidRPr="001D4D63">
              <w:rPr>
                <w:rFonts w:ascii="Times New Roman" w:hAnsi="Times New Roman" w:cs="Times New Roman"/>
                <w:sz w:val="28"/>
                <w:szCs w:val="28"/>
                <w:u w:color="FF0000"/>
              </w:rPr>
              <w:t xml:space="preserve">Анализируя демографическую ситуацию последних лет, можно сделать вывод, что ход демографических процессов не изменился, в районе сохраняется тенденция к сокращению численности. 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color="FF0000"/>
              </w:rPr>
            </w:pP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color="FF0000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</w:t>
            </w:r>
          </w:p>
          <w:p w:rsidR="001D4D63" w:rsidRPr="001D4D63" w:rsidRDefault="001D4D63" w:rsidP="00DD3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FF0000"/>
              </w:rPr>
            </w:pPr>
            <w:r w:rsidRPr="001D4D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FF0000"/>
              </w:rPr>
              <w:t>Энергосбережение и повышение энергетической эффективности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color="FF0000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FF0000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</w:t>
            </w:r>
            <w:r w:rsidRPr="001D4D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FF0000"/>
              </w:rPr>
              <w:t>39. Удельная величина потребления энергетических ресурсов (электрическая и тепловая энергия, вода, природный газ) в многоквартирных домах</w:t>
            </w:r>
          </w:p>
          <w:p w:rsidR="00443CCD" w:rsidRDefault="001D4D63" w:rsidP="00443CCD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</w:pPr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  <w:t>39.1 «Электрическая энергия» - удельная величина потребления электроэнергии  в многоквартирных домах в 2017 году уменьшилась по сравнению с 2016 годом. Снижение удельной величины потребления электроэнергии многоквартирными домами достигнуто за счет уменьшения объема потребления электроэнергии, проведения ме</w:t>
            </w:r>
            <w:r w:rsidR="00443CCD"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  <w:t>роприятий по энергосбережению (</w:t>
            </w:r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  <w:t>замены ламп накаливания на более экономные источники освещения, использование менее энергоемких обогревательных приборов, замена и  вынос   индив</w:t>
            </w:r>
            <w:r w:rsidR="00443CCD"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  <w:t xml:space="preserve">идуальных приборов учета на </w:t>
            </w:r>
            <w:proofErr w:type="spellStart"/>
            <w:r w:rsidR="00443CCD"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  <w:t>эл</w:t>
            </w:r>
            <w:proofErr w:type="gramStart"/>
            <w:r w:rsidR="00443CCD"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  <w:t>.</w:t>
            </w:r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  <w:t>о</w:t>
            </w:r>
            <w:proofErr w:type="gramEnd"/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  <w:t>поры</w:t>
            </w:r>
            <w:proofErr w:type="spellEnd"/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  <w:t xml:space="preserve">). </w:t>
            </w:r>
          </w:p>
          <w:p w:rsidR="00443CCD" w:rsidRDefault="001D4D63" w:rsidP="00443CCD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</w:pPr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  <w:t xml:space="preserve">39.2 «Тепловая энергия» - Удельная величина потребления тепловой энергии в многоквартирных домах в 2017 уменьшилась по сравнению с 2016 годом. Снижение удельной величины потребления электроэнергии многоквартирными домами достигнуто за счет уменьшения объема потребления тепловой энергии, проведения мероприятий по энергосбережению, установкой индивидуальных и </w:t>
            </w:r>
            <w:proofErr w:type="spellStart"/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  <w:t>общедомовых</w:t>
            </w:r>
            <w:proofErr w:type="spellEnd"/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  <w:t xml:space="preserve"> приборов учета.</w:t>
            </w:r>
            <w:r w:rsidR="00443CCD"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  <w:t xml:space="preserve"> </w:t>
            </w:r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  <w:t>Объем потребления тепловой энергии в многоквартирных домах 26208 Гкал. Общая площадь многоквартирных домов составляет 74400 кв.м.</w:t>
            </w:r>
          </w:p>
          <w:p w:rsidR="00443CCD" w:rsidRDefault="001D4D63" w:rsidP="00443CCD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</w:pPr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  <w:t xml:space="preserve">39.3 «Горячая вода» - Удельная величина потребления горячей воды в </w:t>
            </w:r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  <w:lastRenderedPageBreak/>
              <w:t xml:space="preserve">многоквартирных домах в 2017 уменьшилась по сравнению с 2016 годом. Снижение удельной величины потребления горячей воды многоквартирными домами достигнуто за счет уменьшения объема потребления горячей воды, проведения мероприятий по энергосбережению, установкой индивидуальных и </w:t>
            </w:r>
            <w:proofErr w:type="spellStart"/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  <w:t>общедомовых</w:t>
            </w:r>
            <w:proofErr w:type="spellEnd"/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  <w:t xml:space="preserve"> приборов учета, а так же частичным отказом от услуги ГВС населением. Объем потребления горячей воды в многоквартирных домах составил 53000 м3 , количество проживающих в многоквартирных домах 2447 чел.</w:t>
            </w:r>
          </w:p>
          <w:p w:rsidR="00443CCD" w:rsidRDefault="001D4D63" w:rsidP="00443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8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u w:color="FF0000"/>
              </w:rPr>
            </w:pPr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  <w:t xml:space="preserve">39.4 «Холодная вода» -  </w:t>
            </w:r>
            <w:r w:rsidR="00386BA4">
              <w:rPr>
                <w:rFonts w:ascii="Times New Roman CYR" w:hAnsi="Times New Roman CYR" w:cs="Times New Roman CYR"/>
                <w:color w:val="000000"/>
                <w:sz w:val="28"/>
                <w:szCs w:val="28"/>
                <w:u w:color="FF0000"/>
              </w:rPr>
              <w:t xml:space="preserve">Удельная величина потребления холодной воды в многоквартирных домах в 2017 увеличилась по сравнению с 2016 годом. Данные по потребленной холодной воде предоставлены </w:t>
            </w:r>
            <w:proofErr w:type="spellStart"/>
            <w:r w:rsidR="00386BA4">
              <w:rPr>
                <w:rFonts w:ascii="Times New Roman CYR" w:hAnsi="Times New Roman CYR" w:cs="Times New Roman CYR"/>
                <w:color w:val="000000"/>
                <w:sz w:val="28"/>
                <w:szCs w:val="28"/>
                <w:u w:color="FF0000"/>
              </w:rPr>
              <w:t>ресурсоснабжающими</w:t>
            </w:r>
            <w:proofErr w:type="spellEnd"/>
            <w:r w:rsidR="00386BA4">
              <w:rPr>
                <w:rFonts w:ascii="Times New Roman CYR" w:hAnsi="Times New Roman CYR" w:cs="Times New Roman CYR"/>
                <w:color w:val="000000"/>
                <w:sz w:val="28"/>
                <w:szCs w:val="28"/>
                <w:u w:color="FF0000"/>
              </w:rPr>
              <w:t xml:space="preserve"> организациями согласно стат. отчету 1 водопровод за 2017 год. Объем потребления ХВС в 2017 году значительно </w:t>
            </w:r>
            <w:proofErr w:type="gramStart"/>
            <w:r w:rsidR="00386BA4">
              <w:rPr>
                <w:rFonts w:ascii="Times New Roman CYR" w:hAnsi="Times New Roman CYR" w:cs="Times New Roman CYR"/>
                <w:color w:val="000000"/>
                <w:sz w:val="28"/>
                <w:szCs w:val="28"/>
                <w:u w:color="FF0000"/>
              </w:rPr>
              <w:t>выше</w:t>
            </w:r>
            <w:proofErr w:type="gramEnd"/>
            <w:r w:rsidR="00386BA4">
              <w:rPr>
                <w:rFonts w:ascii="Times New Roman CYR" w:hAnsi="Times New Roman CYR" w:cs="Times New Roman CYR"/>
                <w:color w:val="000000"/>
                <w:sz w:val="28"/>
                <w:szCs w:val="28"/>
                <w:u w:color="FF0000"/>
              </w:rPr>
              <w:t xml:space="preserve"> чем в 2016г.  Увеличение объема связано с тем, что в 2017 году РСО проведена работа по выявлению не санкционированного подключения абонентов, включению в реестр ранее не выявленных абонентов имеющих технические подключения, включению в реестр пользователей водоразборных колонок.  Так как плата данным потребителям не выставлялась, объемы потребления ХВС соответственно ранее не учитывались. Объем потребления холодной воды в многоквартирных домах составил 157510 м3.</w:t>
            </w:r>
          </w:p>
          <w:p w:rsidR="001D4D63" w:rsidRPr="001D4D63" w:rsidRDefault="001D4D63" w:rsidP="00443CCD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</w:pPr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  <w:t>39.5 «Природный газ» - природный газ не используется.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color="FF0000"/>
              </w:rPr>
            </w:pP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color="FF0000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FF0000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</w:t>
            </w:r>
            <w:r w:rsidRPr="001D4D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FF0000"/>
              </w:rPr>
              <w:t>40.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</w:t>
            </w:r>
          </w:p>
          <w:p w:rsidR="001D4D63" w:rsidRPr="001D4D63" w:rsidRDefault="001D4D63" w:rsidP="00443CCD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</w:pPr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  <w:t xml:space="preserve">«Электрическая энергия» - удельная величина потребления электроэнергии  муниципальными бюджетными учреждениями в 2017 году увеличилась по сравнению с 2016 года. Объем потребления электроэнергии муниципальными бюджетными учреждениями в 2017 году составил  </w:t>
            </w:r>
            <w:r w:rsidRPr="001D4D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color="FF0000"/>
              </w:rPr>
              <w:t xml:space="preserve">4516000 </w:t>
            </w:r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  <w:t xml:space="preserve">кВтч, среднегодовая численность постоянного населения Мотыгинского района составила </w:t>
            </w:r>
            <w:r w:rsidRPr="001D4D63">
              <w:rPr>
                <w:rFonts w:ascii="Times New Roman" w:hAnsi="Times New Roman" w:cs="Times New Roman"/>
                <w:sz w:val="28"/>
                <w:szCs w:val="28"/>
                <w:u w:color="FF0000"/>
              </w:rPr>
              <w:t xml:space="preserve">14245 </w:t>
            </w:r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  <w:t>человека.  Увеличение удельной величины потребления электроэнергии  вызвано  за счет уменьшения среднегодовой численности постоянного населения района.</w:t>
            </w:r>
          </w:p>
          <w:p w:rsidR="00443CCD" w:rsidRDefault="001D4D63" w:rsidP="00443CCD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</w:pPr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  <w:t>«Тепловая энергия» Гкал на 1 кв.м. – Удельная величина потребления тепловой энергии бюджетными учреждениями района в 2017 уменьшилась по сравнению с 2016 годом. Снижение удельной величины потребления тепловой энергии  достигнуто за счет уменьшения объема потребления тепловой энергии, проведения мероприятий по энергосбережению, установкой  приборов учета.</w:t>
            </w:r>
            <w:r w:rsidR="00443CCD"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  <w:t xml:space="preserve"> </w:t>
            </w:r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  <w:t xml:space="preserve">Общее потребление тепловой энергии муниципальными бюджетными учреждениями за 2017 год составило: 15720 Гкал, общая площадь муниципальных учреждений составила 97375,4 кв.м. </w:t>
            </w:r>
          </w:p>
          <w:p w:rsidR="001D4D63" w:rsidRPr="001D4D63" w:rsidRDefault="001D4D63" w:rsidP="00443CCD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</w:pPr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  <w:lastRenderedPageBreak/>
              <w:t>«Горячая вода» куб.м. - Удельная величина потребления горячей воды МБУ в 2017. увеличилась по сравнению с 2016 годом. Объем потребления горячей воды муниципальными бюджетными учреждениями на 2017 год составил 18000 м</w:t>
            </w:r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  <w:vertAlign w:val="superscript"/>
              </w:rPr>
              <w:t>3</w:t>
            </w:r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  <w:t>, среднегодовая численность в 2017 году составила – 14245 человека. Изменений по данному показателю не произошло в связи с уменьшением показателей пропорционально.</w:t>
            </w:r>
          </w:p>
          <w:p w:rsidR="00443CCD" w:rsidRDefault="001D4D63" w:rsidP="00443CCD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</w:pPr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  <w:t xml:space="preserve">«Холодная вода» куб.м. - Удельная величина потребления холодной воды в многоквартирных домах в 2017 увеличилась по сравнению с 2016 годом. Данные по потребленной холодной воде предоставлены </w:t>
            </w:r>
            <w:proofErr w:type="spellStart"/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  <w:t>ресурсоснабжающими</w:t>
            </w:r>
            <w:proofErr w:type="spellEnd"/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  <w:t xml:space="preserve"> организациями согласно стат. отчету 1 водопровод за 2017 год. Объем потребления ХВС в 2017 году значительно выше чем в 2016г</w:t>
            </w:r>
            <w:proofErr w:type="gramStart"/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  <w:t>.О</w:t>
            </w:r>
            <w:proofErr w:type="gramEnd"/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  <w:t>бъем потребления холодной воды муниципальными бюджетными учреждениями на 2017 год составил 33360 м</w:t>
            </w:r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  <w:vertAlign w:val="superscript"/>
              </w:rPr>
              <w:t>3</w:t>
            </w:r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  <w:t xml:space="preserve">, среднегодовая численность в 2017 году составила – 14245 человека. </w:t>
            </w:r>
          </w:p>
          <w:p w:rsidR="001D4D63" w:rsidRPr="00443CCD" w:rsidRDefault="001D4D63" w:rsidP="00443CCD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</w:pPr>
            <w:r w:rsidRPr="001D4D63">
              <w:rPr>
                <w:rFonts w:ascii="Times New Roman" w:hAnsi="Times New Roman" w:cs="Times New Roman"/>
                <w:color w:val="000000"/>
                <w:sz w:val="28"/>
                <w:szCs w:val="28"/>
                <w:u w:color="FF0000"/>
              </w:rPr>
              <w:t>«Природный газ» - природный газ бюджетными учреждениями не</w:t>
            </w:r>
            <w:r w:rsidRPr="001D4D63">
              <w:rPr>
                <w:rFonts w:ascii="Times New Roman" w:hAnsi="Times New Roman" w:cs="Times New Roman"/>
                <w:color w:val="FF0000"/>
                <w:sz w:val="28"/>
                <w:szCs w:val="28"/>
                <w:u w:color="FF0000"/>
              </w:rPr>
              <w:t xml:space="preserve"> </w:t>
            </w:r>
            <w:r w:rsidRPr="001D4D63">
              <w:rPr>
                <w:rFonts w:ascii="Times New Roman" w:hAnsi="Times New Roman" w:cs="Times New Roman"/>
                <w:sz w:val="28"/>
                <w:szCs w:val="28"/>
                <w:u w:color="FF0000"/>
              </w:rPr>
              <w:t>потребляется.</w:t>
            </w: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color="FF0000"/>
              </w:rPr>
            </w:pPr>
          </w:p>
          <w:p w:rsidR="001D4D63" w:rsidRP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color="FF0000"/>
              </w:rPr>
            </w:pPr>
            <w:r w:rsidRPr="001D4D63">
              <w:rPr>
                <w:rFonts w:ascii="Times New Roman" w:hAnsi="Times New Roman" w:cs="Times New Roman"/>
                <w:sz w:val="20"/>
                <w:szCs w:val="20"/>
                <w:u w:color="FF0000"/>
              </w:rPr>
              <w:t xml:space="preserve"> </w:t>
            </w:r>
          </w:p>
          <w:p w:rsidR="001D4D63" w:rsidRDefault="001D4D63" w:rsidP="001D4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F3E27" w:rsidRDefault="00DF3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1D4D63" w:rsidRDefault="001D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1D4D63" w:rsidRDefault="001D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1D4D63" w:rsidRDefault="001D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1D4D63" w:rsidRDefault="001D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1D4D63" w:rsidRDefault="001D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1D4D63" w:rsidRDefault="001D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1D4D63" w:rsidRDefault="001D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1D4D63" w:rsidRDefault="001D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1D4D63" w:rsidRDefault="001D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1D4D63" w:rsidRDefault="001D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1D4D63" w:rsidRDefault="001D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1D4D63" w:rsidRDefault="001D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1D4D63" w:rsidRDefault="001D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1D4D63" w:rsidRDefault="001D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1D4D63" w:rsidRDefault="001D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1D4D63" w:rsidRDefault="001D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1D4D63" w:rsidRDefault="001D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1D4D63" w:rsidRDefault="001D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1D4D63" w:rsidRDefault="001D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9D60E3" w:rsidRPr="001D4D63" w:rsidRDefault="009D60E3" w:rsidP="00D34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color="FF0000"/>
        </w:rPr>
      </w:pPr>
    </w:p>
    <w:sectPr w:rsidR="009D60E3" w:rsidRPr="001D4D63" w:rsidSect="00DD3D6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024E0"/>
    <w:multiLevelType w:val="singleLevel"/>
    <w:tmpl w:val="C4CC5DBE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1">
    <w:nsid w:val="699C5E98"/>
    <w:multiLevelType w:val="singleLevel"/>
    <w:tmpl w:val="C4CC5DBE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F3E27"/>
    <w:rsid w:val="001D4D63"/>
    <w:rsid w:val="00386BA4"/>
    <w:rsid w:val="00443CCD"/>
    <w:rsid w:val="00817E62"/>
    <w:rsid w:val="008D74AE"/>
    <w:rsid w:val="009D60E3"/>
    <w:rsid w:val="00CF4B03"/>
    <w:rsid w:val="00D34C03"/>
    <w:rsid w:val="00D862B1"/>
    <w:rsid w:val="00DD3D6E"/>
    <w:rsid w:val="00DF3E27"/>
    <w:rsid w:val="00F4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34EC0-772C-4069-B6D3-27AD6FBA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20</Pages>
  <Words>5614</Words>
  <Characters>32002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2018-05-03T02:42:00Z</cp:lastPrinted>
  <dcterms:created xsi:type="dcterms:W3CDTF">2018-04-27T07:53:00Z</dcterms:created>
  <dcterms:modified xsi:type="dcterms:W3CDTF">2018-05-03T02:50:00Z</dcterms:modified>
</cp:coreProperties>
</file>